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0" w:type="dxa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770"/>
      </w:tblGrid>
      <w:tr w:rsidR="00C959F1" w:rsidRPr="000A6EF2" w:rsidTr="00F00FA0">
        <w:trPr>
          <w:trHeight w:val="32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9F1" w:rsidRPr="00E56188" w:rsidRDefault="00C959F1" w:rsidP="007D3922">
            <w:pPr>
              <w:pStyle w:val="Heading2"/>
              <w:spacing w:before="120"/>
              <w:rPr>
                <w:rFonts w:ascii="Nunito Sans" w:hAnsi="Nunito Sans"/>
                <w:b/>
                <w:color w:val="002855"/>
                <w:sz w:val="32"/>
              </w:rPr>
            </w:pPr>
            <w:bookmarkStart w:id="0" w:name="_GoBack"/>
            <w:bookmarkEnd w:id="0"/>
            <w:r w:rsidRPr="00E56188">
              <w:rPr>
                <w:rFonts w:ascii="Nunito Sans" w:hAnsi="Nunito Sans"/>
                <w:b/>
                <w:noProof/>
                <w:color w:val="002855"/>
              </w:rPr>
              <w:drawing>
                <wp:anchor distT="0" distB="0" distL="114300" distR="114300" simplePos="0" relativeHeight="251659264" behindDoc="0" locked="0" layoutInCell="1" allowOverlap="1" wp14:anchorId="73EFC6EF" wp14:editId="50AFB84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77470</wp:posOffset>
                  </wp:positionV>
                  <wp:extent cx="1051560" cy="1051560"/>
                  <wp:effectExtent l="0" t="0" r="0" b="0"/>
                  <wp:wrapNone/>
                  <wp:docPr id="3" name="Picture 3" descr="C:\Users\taylormosolf\Desktop\TM\IDC\Letterhead and Logos\Logo Files (Thanks to USTAR)\Small Logo (.75IN or Less)\Color\IDC_Logo_Smal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lormosolf\Desktop\TM\IDC\Letterhead and Logos\Logo Files (Thanks to USTAR)\Small Logo (.75IN or Less)\Color\IDC_Logo_Small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6188">
              <w:rPr>
                <w:rFonts w:ascii="Nunito Sans" w:hAnsi="Nunito Sans"/>
                <w:b/>
                <w:color w:val="002855"/>
              </w:rPr>
              <w:t>STATE OF UTAH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b/>
                <w:color w:val="002855"/>
                <w:sz w:val="24"/>
              </w:rPr>
            </w:pPr>
            <w:r w:rsidRPr="00E56188">
              <w:rPr>
                <w:rFonts w:ascii="Nunito Sans" w:hAnsi="Nunito Sans"/>
                <w:b/>
                <w:color w:val="002855"/>
                <w:sz w:val="24"/>
              </w:rPr>
              <w:t xml:space="preserve">Indigent Defense Commission 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370 East South Temple, Suite 500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Salt Lake City, Utah 84111</w:t>
            </w:r>
          </w:p>
          <w:p w:rsidR="00C959F1" w:rsidRPr="00FF3766" w:rsidRDefault="00C959F1" w:rsidP="007D3922">
            <w:pPr>
              <w:pStyle w:val="Heading2"/>
              <w:spacing w:after="120"/>
              <w:rPr>
                <w:rFonts w:asciiTheme="minorHAnsi" w:hAnsiTheme="minorHAnsi"/>
                <w:b/>
                <w:noProof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 xml:space="preserve">(801) 531-9043 – </w:t>
            </w:r>
            <w:hyperlink r:id="rId9" w:history="1">
              <w:r w:rsidRPr="00E56188">
                <w:rPr>
                  <w:rStyle w:val="Hyperlink"/>
                  <w:rFonts w:ascii="Nunito Sans" w:hAnsi="Nunito Sans"/>
                  <w:color w:val="002855"/>
                  <w:sz w:val="20"/>
                </w:rPr>
                <w:t>IDC@Utah.Gov</w:t>
              </w:r>
            </w:hyperlink>
          </w:p>
        </w:tc>
      </w:tr>
      <w:tr w:rsidR="00C959F1" w:rsidRPr="000A6EF2" w:rsidTr="00F00FA0">
        <w:trPr>
          <w:trHeight w:val="566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855"/>
            <w:vAlign w:val="center"/>
          </w:tcPr>
          <w:p w:rsidR="00C959F1" w:rsidRPr="00E56188" w:rsidRDefault="00F00FA0" w:rsidP="007D3922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  <w:t>Payee Tracking Sheet</w:t>
            </w:r>
          </w:p>
        </w:tc>
      </w:tr>
      <w:tr w:rsidR="00F00FA0" w:rsidRPr="000A6EF2" w:rsidTr="00461158">
        <w:trPr>
          <w:trHeight w:val="68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FA0" w:rsidRPr="00461158" w:rsidRDefault="00F00FA0" w:rsidP="007D3922">
            <w:pPr>
              <w:spacing w:after="0" w:line="240" w:lineRule="auto"/>
              <w:ind w:left="48"/>
              <w:jc w:val="center"/>
              <w:rPr>
                <w:rFonts w:ascii="Nunito Sans" w:eastAsia="Times New Roman" w:hAnsi="Nunito Sans" w:cs="Times New Roman"/>
                <w:b/>
                <w:bCs/>
              </w:rPr>
            </w:pP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Complete the following tracking sheet to indicate indigent defense expenditures for the quarter. All expenditures on this sheet should be related to reserve funds, </w:t>
            </w:r>
            <w:r w:rsidR="00461158"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travel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, attorney training, or other indigent defense expenses. Once complete, upload this tracking sheet into GMS for quarterly reporting purposes and IDC grant reimbursement.</w:t>
            </w:r>
          </w:p>
        </w:tc>
      </w:tr>
    </w:tbl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1587"/>
        <w:gridCol w:w="987"/>
        <w:gridCol w:w="1156"/>
        <w:gridCol w:w="2982"/>
        <w:gridCol w:w="1690"/>
        <w:gridCol w:w="1156"/>
        <w:gridCol w:w="1160"/>
        <w:gridCol w:w="1432"/>
        <w:gridCol w:w="1620"/>
      </w:tblGrid>
      <w:tr w:rsidR="00267C8D" w:rsidTr="00461158">
        <w:trPr>
          <w:trHeight w:val="521"/>
        </w:trPr>
        <w:tc>
          <w:tcPr>
            <w:tcW w:w="1587" w:type="dxa"/>
            <w:shd w:val="clear" w:color="auto" w:fill="B8CCC4"/>
            <w:vAlign w:val="center"/>
          </w:tcPr>
          <w:p w:rsidR="00F00FA0" w:rsidRPr="00E56188" w:rsidRDefault="00F00FA0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Payee</w:t>
            </w:r>
          </w:p>
        </w:tc>
        <w:tc>
          <w:tcPr>
            <w:tcW w:w="987" w:type="dxa"/>
            <w:shd w:val="clear" w:color="auto" w:fill="B8CCC4"/>
            <w:vAlign w:val="center"/>
          </w:tcPr>
          <w:p w:rsidR="00F00FA0" w:rsidRPr="00E56188" w:rsidRDefault="00F00FA0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</w:t>
            </w:r>
          </w:p>
        </w:tc>
        <w:tc>
          <w:tcPr>
            <w:tcW w:w="1156" w:type="dxa"/>
            <w:shd w:val="clear" w:color="auto" w:fill="B8CCC4"/>
            <w:vAlign w:val="center"/>
          </w:tcPr>
          <w:p w:rsidR="00F00FA0" w:rsidRPr="00E56188" w:rsidRDefault="00F00FA0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Amount</w:t>
            </w:r>
          </w:p>
        </w:tc>
        <w:tc>
          <w:tcPr>
            <w:tcW w:w="2982" w:type="dxa"/>
            <w:shd w:val="clear" w:color="auto" w:fill="B8CCC4"/>
            <w:vAlign w:val="center"/>
          </w:tcPr>
          <w:p w:rsidR="00F00FA0" w:rsidRPr="00E56188" w:rsidRDefault="00F00FA0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Vendor Invoice/Receipt Number</w:t>
            </w:r>
          </w:p>
        </w:tc>
        <w:tc>
          <w:tcPr>
            <w:tcW w:w="1690" w:type="dxa"/>
            <w:shd w:val="clear" w:color="auto" w:fill="B8CCC4"/>
            <w:vAlign w:val="center"/>
          </w:tcPr>
          <w:p w:rsidR="00F00FA0" w:rsidRPr="00E56188" w:rsidRDefault="00F00FA0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Contact Attorney</w:t>
            </w:r>
          </w:p>
        </w:tc>
        <w:tc>
          <w:tcPr>
            <w:tcW w:w="1156" w:type="dxa"/>
            <w:shd w:val="clear" w:color="auto" w:fill="B8CCC4"/>
          </w:tcPr>
          <w:p w:rsidR="00F00FA0" w:rsidRDefault="00F00FA0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</w:p>
          <w:p w:rsidR="00F00FA0" w:rsidRDefault="00F00FA0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Case Number</w:t>
            </w:r>
          </w:p>
        </w:tc>
        <w:tc>
          <w:tcPr>
            <w:tcW w:w="1160" w:type="dxa"/>
            <w:shd w:val="clear" w:color="auto" w:fill="B8CCC4"/>
          </w:tcPr>
          <w:p w:rsidR="00F00FA0" w:rsidRDefault="00F00FA0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</w:p>
          <w:p w:rsidR="00F00FA0" w:rsidRDefault="00F00FA0" w:rsidP="00461158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Category</w:t>
            </w:r>
          </w:p>
        </w:tc>
        <w:tc>
          <w:tcPr>
            <w:tcW w:w="1432" w:type="dxa"/>
            <w:shd w:val="clear" w:color="auto" w:fill="B8CCC4"/>
          </w:tcPr>
          <w:p w:rsidR="00F00FA0" w:rsidRDefault="00F00FA0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</w:p>
          <w:p w:rsidR="00F00FA0" w:rsidRDefault="00F00FA0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Purpose/Type</w:t>
            </w:r>
          </w:p>
        </w:tc>
        <w:tc>
          <w:tcPr>
            <w:tcW w:w="1620" w:type="dxa"/>
            <w:shd w:val="clear" w:color="auto" w:fill="EBBC4E"/>
          </w:tcPr>
          <w:p w:rsidR="00F00FA0" w:rsidRDefault="00F00FA0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</w:p>
          <w:p w:rsidR="00F00FA0" w:rsidRPr="00461158" w:rsidRDefault="00F00FA0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461158">
              <w:rPr>
                <w:rFonts w:ascii="Nunito Sans" w:hAnsi="Nunito Sans"/>
                <w:b/>
                <w:sz w:val="18"/>
                <w:szCs w:val="18"/>
              </w:rPr>
              <w:t>Total</w:t>
            </w:r>
          </w:p>
        </w:tc>
      </w:tr>
      <w:tr w:rsidR="00F00FA0" w:rsidTr="00461158">
        <w:tc>
          <w:tcPr>
            <w:tcW w:w="1587" w:type="dxa"/>
            <w:vAlign w:val="center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  <w:vAlign w:val="center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  <w:vAlign w:val="center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  <w:vAlign w:val="center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  <w:vAlign w:val="center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F00FA0" w:rsidTr="00461158">
        <w:tc>
          <w:tcPr>
            <w:tcW w:w="15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F00FA0" w:rsidRPr="00395FAE" w:rsidRDefault="00F00FA0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F00FA0" w:rsidRPr="00395FAE" w:rsidRDefault="00F00FA0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  <w:tr w:rsidR="00461158" w:rsidTr="00461158">
        <w:tc>
          <w:tcPr>
            <w:tcW w:w="15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987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2982" w:type="dxa"/>
          </w:tcPr>
          <w:p w:rsidR="00461158" w:rsidRPr="00395FAE" w:rsidRDefault="00461158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69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56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16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432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  <w:tc>
          <w:tcPr>
            <w:tcW w:w="1620" w:type="dxa"/>
          </w:tcPr>
          <w:p w:rsidR="00461158" w:rsidRPr="00395FAE" w:rsidRDefault="00461158" w:rsidP="007D3922">
            <w:pPr>
              <w:tabs>
                <w:tab w:val="left" w:pos="6660"/>
              </w:tabs>
            </w:pPr>
          </w:p>
        </w:tc>
      </w:tr>
    </w:tbl>
    <w:p w:rsidR="0024195D" w:rsidRDefault="0024195D" w:rsidP="00385DFE"/>
    <w:sectPr w:rsidR="0024195D" w:rsidSect="00267C8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46" w:rsidRDefault="00DF3346">
      <w:pPr>
        <w:spacing w:after="0" w:line="240" w:lineRule="auto"/>
      </w:pPr>
      <w:r>
        <w:separator/>
      </w:r>
    </w:p>
  </w:endnote>
  <w:endnote w:type="continuationSeparator" w:id="0">
    <w:p w:rsidR="00DF3346" w:rsidRDefault="00DF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72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AE" w:rsidRDefault="0073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FAE" w:rsidRDefault="0051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46" w:rsidRDefault="00DF3346">
      <w:pPr>
        <w:spacing w:after="0" w:line="240" w:lineRule="auto"/>
      </w:pPr>
      <w:r>
        <w:separator/>
      </w:r>
    </w:p>
  </w:footnote>
  <w:footnote w:type="continuationSeparator" w:id="0">
    <w:p w:rsidR="00DF3346" w:rsidRDefault="00DF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8E0"/>
    <w:multiLevelType w:val="hybridMultilevel"/>
    <w:tmpl w:val="86607A08"/>
    <w:lvl w:ilvl="0" w:tplc="EB56C6B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2D51A80"/>
    <w:multiLevelType w:val="hybridMultilevel"/>
    <w:tmpl w:val="9FEC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0457"/>
    <w:multiLevelType w:val="hybridMultilevel"/>
    <w:tmpl w:val="359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1"/>
    <w:rsid w:val="0000265B"/>
    <w:rsid w:val="0014465F"/>
    <w:rsid w:val="00215842"/>
    <w:rsid w:val="002244D5"/>
    <w:rsid w:val="0024195D"/>
    <w:rsid w:val="00267C8D"/>
    <w:rsid w:val="002C1829"/>
    <w:rsid w:val="0036212A"/>
    <w:rsid w:val="003727FD"/>
    <w:rsid w:val="00385DFE"/>
    <w:rsid w:val="00397725"/>
    <w:rsid w:val="00430283"/>
    <w:rsid w:val="00446FA2"/>
    <w:rsid w:val="00461158"/>
    <w:rsid w:val="00511CA3"/>
    <w:rsid w:val="00703CA0"/>
    <w:rsid w:val="00736255"/>
    <w:rsid w:val="00745C32"/>
    <w:rsid w:val="00771E98"/>
    <w:rsid w:val="0077753E"/>
    <w:rsid w:val="00875201"/>
    <w:rsid w:val="008C44F3"/>
    <w:rsid w:val="009D2F16"/>
    <w:rsid w:val="009D7A24"/>
    <w:rsid w:val="00A34A12"/>
    <w:rsid w:val="00A6448B"/>
    <w:rsid w:val="00B521A9"/>
    <w:rsid w:val="00B7239D"/>
    <w:rsid w:val="00BA41C2"/>
    <w:rsid w:val="00BE1415"/>
    <w:rsid w:val="00C108D0"/>
    <w:rsid w:val="00C93964"/>
    <w:rsid w:val="00C959F1"/>
    <w:rsid w:val="00CD0FFF"/>
    <w:rsid w:val="00DF3346"/>
    <w:rsid w:val="00DF6E59"/>
    <w:rsid w:val="00E56188"/>
    <w:rsid w:val="00E768F3"/>
    <w:rsid w:val="00E8576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53D6-7A75-4B8F-957B-A52324D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F1"/>
  </w:style>
  <w:style w:type="paragraph" w:styleId="Heading2">
    <w:name w:val="heading 2"/>
    <w:basedOn w:val="Normal"/>
    <w:next w:val="Normal"/>
    <w:link w:val="Heading2Char"/>
    <w:qFormat/>
    <w:rsid w:val="00C959F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9F1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C9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9F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9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C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1263-A5FB-4D9B-BAA0-CFFA51DB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Mosolf</dc:creator>
  <cp:keywords/>
  <dc:description/>
  <cp:lastModifiedBy>Josh Weber</cp:lastModifiedBy>
  <cp:revision>2</cp:revision>
  <dcterms:created xsi:type="dcterms:W3CDTF">2018-09-26T21:25:00Z</dcterms:created>
  <dcterms:modified xsi:type="dcterms:W3CDTF">2018-09-26T21:25:00Z</dcterms:modified>
</cp:coreProperties>
</file>