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0" w:type="dxa"/>
        <w:tblInd w:w="-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770"/>
      </w:tblGrid>
      <w:tr w:rsidR="00C959F1" w:rsidRPr="000A6EF2" w:rsidTr="00F00FA0">
        <w:trPr>
          <w:trHeight w:val="323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9F1" w:rsidRPr="00E56188" w:rsidRDefault="00C959F1" w:rsidP="007D3922">
            <w:pPr>
              <w:pStyle w:val="Heading2"/>
              <w:spacing w:before="120"/>
              <w:rPr>
                <w:rFonts w:ascii="Nunito Sans" w:hAnsi="Nunito Sans"/>
                <w:b/>
                <w:color w:val="002855"/>
                <w:sz w:val="32"/>
              </w:rPr>
            </w:pPr>
            <w:bookmarkStart w:id="0" w:name="_GoBack"/>
            <w:bookmarkEnd w:id="0"/>
            <w:r w:rsidRPr="00E56188">
              <w:rPr>
                <w:rFonts w:ascii="Nunito Sans" w:hAnsi="Nunito Sans"/>
                <w:b/>
                <w:noProof/>
                <w:color w:val="002855"/>
              </w:rPr>
              <w:drawing>
                <wp:anchor distT="0" distB="0" distL="114300" distR="114300" simplePos="0" relativeHeight="251659264" behindDoc="0" locked="0" layoutInCell="1" allowOverlap="1" wp14:anchorId="73EFC6EF" wp14:editId="50AFB84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77470</wp:posOffset>
                  </wp:positionV>
                  <wp:extent cx="1051560" cy="1051560"/>
                  <wp:effectExtent l="0" t="0" r="0" b="0"/>
                  <wp:wrapNone/>
                  <wp:docPr id="3" name="Picture 3" descr="C:\Users\taylormosolf\Desktop\TM\IDC\Letterhead and Logos\Logo Files (Thanks to USTAR)\Small Logo (.75IN or Less)\Color\IDC_Logo_Small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ylormosolf\Desktop\TM\IDC\Letterhead and Logos\Logo Files (Thanks to USTAR)\Small Logo (.75IN or Less)\Color\IDC_Logo_Small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6188">
              <w:rPr>
                <w:rFonts w:ascii="Nunito Sans" w:hAnsi="Nunito Sans"/>
                <w:b/>
                <w:color w:val="002855"/>
              </w:rPr>
              <w:t>STATE OF UTAH</w:t>
            </w:r>
          </w:p>
          <w:p w:rsidR="00C959F1" w:rsidRPr="00E56188" w:rsidRDefault="00C959F1" w:rsidP="007D3922">
            <w:pPr>
              <w:spacing w:after="0" w:line="240" w:lineRule="auto"/>
              <w:jc w:val="center"/>
              <w:rPr>
                <w:rFonts w:ascii="Nunito Sans" w:hAnsi="Nunito Sans"/>
                <w:b/>
                <w:color w:val="002855"/>
                <w:sz w:val="24"/>
              </w:rPr>
            </w:pPr>
            <w:r w:rsidRPr="00E56188">
              <w:rPr>
                <w:rFonts w:ascii="Nunito Sans" w:hAnsi="Nunito Sans"/>
                <w:b/>
                <w:color w:val="002855"/>
                <w:sz w:val="24"/>
              </w:rPr>
              <w:t xml:space="preserve">Indigent Defense Commission </w:t>
            </w:r>
          </w:p>
          <w:p w:rsidR="00C959F1" w:rsidRPr="00E56188" w:rsidRDefault="00C959F1" w:rsidP="007D3922">
            <w:pPr>
              <w:spacing w:after="0" w:line="240" w:lineRule="auto"/>
              <w:jc w:val="center"/>
              <w:rPr>
                <w:rFonts w:ascii="Nunito Sans" w:hAnsi="Nunito Sans"/>
                <w:color w:val="002855"/>
                <w:sz w:val="20"/>
              </w:rPr>
            </w:pPr>
            <w:r w:rsidRPr="00E56188">
              <w:rPr>
                <w:rFonts w:ascii="Nunito Sans" w:hAnsi="Nunito Sans"/>
                <w:color w:val="002855"/>
                <w:sz w:val="20"/>
              </w:rPr>
              <w:t>370 East South Temple, Suite 500</w:t>
            </w:r>
          </w:p>
          <w:p w:rsidR="00C959F1" w:rsidRPr="00E56188" w:rsidRDefault="00C959F1" w:rsidP="007D3922">
            <w:pPr>
              <w:spacing w:after="0" w:line="240" w:lineRule="auto"/>
              <w:jc w:val="center"/>
              <w:rPr>
                <w:rFonts w:ascii="Nunito Sans" w:hAnsi="Nunito Sans"/>
                <w:color w:val="002855"/>
                <w:sz w:val="20"/>
              </w:rPr>
            </w:pPr>
            <w:r w:rsidRPr="00E56188">
              <w:rPr>
                <w:rFonts w:ascii="Nunito Sans" w:hAnsi="Nunito Sans"/>
                <w:color w:val="002855"/>
                <w:sz w:val="20"/>
              </w:rPr>
              <w:t>Salt Lake City, Utah 84111</w:t>
            </w:r>
          </w:p>
          <w:p w:rsidR="00C959F1" w:rsidRPr="00FF3766" w:rsidRDefault="00497E7B" w:rsidP="007D3922">
            <w:pPr>
              <w:pStyle w:val="Heading2"/>
              <w:spacing w:after="120"/>
              <w:rPr>
                <w:rFonts w:asciiTheme="minorHAnsi" w:hAnsiTheme="minorHAnsi"/>
                <w:b/>
                <w:noProof/>
              </w:rPr>
            </w:pPr>
            <w:r>
              <w:rPr>
                <w:rFonts w:ascii="Nunito Sans" w:hAnsi="Nunito Sans"/>
                <w:color w:val="002855"/>
                <w:sz w:val="20"/>
              </w:rPr>
              <w:t>(801) 979-3358</w:t>
            </w:r>
            <w:r w:rsidR="00C959F1" w:rsidRPr="00E56188">
              <w:rPr>
                <w:rFonts w:ascii="Nunito Sans" w:hAnsi="Nunito Sans"/>
                <w:color w:val="002855"/>
                <w:sz w:val="20"/>
              </w:rPr>
              <w:t xml:space="preserve"> – </w:t>
            </w:r>
            <w:hyperlink r:id="rId9" w:history="1">
              <w:r w:rsidR="00C959F1" w:rsidRPr="00E56188">
                <w:rPr>
                  <w:rStyle w:val="Hyperlink"/>
                  <w:rFonts w:ascii="Nunito Sans" w:hAnsi="Nunito Sans"/>
                  <w:color w:val="002855"/>
                  <w:sz w:val="20"/>
                </w:rPr>
                <w:t>IDC@Utah.Gov</w:t>
              </w:r>
            </w:hyperlink>
          </w:p>
        </w:tc>
      </w:tr>
      <w:tr w:rsidR="00C959F1" w:rsidRPr="000A6EF2" w:rsidTr="00F00FA0">
        <w:trPr>
          <w:trHeight w:val="566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855"/>
            <w:vAlign w:val="center"/>
          </w:tcPr>
          <w:p w:rsidR="00C959F1" w:rsidRPr="00E56188" w:rsidRDefault="00F00FA0" w:rsidP="007D3922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Nunito Sans" w:eastAsia="Times New Roman" w:hAnsi="Nunito Sans" w:cs="Times New Roman"/>
                <w:b/>
                <w:bCs/>
                <w:color w:val="FFFFFF" w:themeColor="background1"/>
                <w:sz w:val="26"/>
                <w:szCs w:val="26"/>
              </w:rPr>
              <w:t>Payee Tracking Sheet</w:t>
            </w:r>
          </w:p>
        </w:tc>
      </w:tr>
      <w:tr w:rsidR="00F00FA0" w:rsidRPr="000A6EF2" w:rsidTr="00461158">
        <w:trPr>
          <w:trHeight w:val="683"/>
        </w:trPr>
        <w:tc>
          <w:tcPr>
            <w:tcW w:w="1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FA0" w:rsidRPr="00461158" w:rsidRDefault="00F00FA0" w:rsidP="00765664">
            <w:pPr>
              <w:spacing w:after="0" w:line="240" w:lineRule="auto"/>
              <w:ind w:left="48"/>
              <w:jc w:val="center"/>
              <w:rPr>
                <w:rFonts w:ascii="Nunito Sans" w:eastAsia="Times New Roman" w:hAnsi="Nunito Sans" w:cs="Times New Roman"/>
                <w:b/>
                <w:bCs/>
              </w:rPr>
            </w:pP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>Complete the following tracking sheet to indicate</w:t>
            </w:r>
            <w:r w:rsidR="00DA0565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 grant funded and match</w:t>
            </w: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 indigent defense expenditures for the quarter. All expenditures on this sheet should be related to </w:t>
            </w:r>
            <w:r w:rsidR="00E200D3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contract payments, </w:t>
            </w: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reserve funds, </w:t>
            </w:r>
            <w:r w:rsidR="00461158"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>travel</w:t>
            </w: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>, attorney training, or other indigent defense expenses. Once complete, upload this tracking sheet into GMS</w:t>
            </w:r>
            <w:r w:rsidR="00765664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 with verification of the expense and payment (vendor invoice and payment check stub/receipt)</w:t>
            </w:r>
            <w:r w:rsidRPr="00461158">
              <w:rPr>
                <w:rFonts w:ascii="Nunito Sans" w:eastAsia="Times New Roman" w:hAnsi="Nunito Sans" w:cs="Times New Roman"/>
                <w:color w:val="000000"/>
                <w:sz w:val="18"/>
              </w:rPr>
              <w:t xml:space="preserve"> for quarterly reporting purposes and IDC grant reimbursement.</w:t>
            </w:r>
          </w:p>
        </w:tc>
      </w:tr>
    </w:tbl>
    <w:tbl>
      <w:tblPr>
        <w:tblStyle w:val="TableGrid"/>
        <w:tblW w:w="13770" w:type="dxa"/>
        <w:tblInd w:w="-5" w:type="dxa"/>
        <w:tblLook w:val="04A0" w:firstRow="1" w:lastRow="0" w:firstColumn="1" w:lastColumn="0" w:noHBand="0" w:noVBand="1"/>
      </w:tblPr>
      <w:tblGrid>
        <w:gridCol w:w="1618"/>
        <w:gridCol w:w="1278"/>
        <w:gridCol w:w="1136"/>
        <w:gridCol w:w="1469"/>
        <w:gridCol w:w="1469"/>
        <w:gridCol w:w="1470"/>
        <w:gridCol w:w="1296"/>
        <w:gridCol w:w="1320"/>
        <w:gridCol w:w="1513"/>
        <w:gridCol w:w="1201"/>
      </w:tblGrid>
      <w:tr w:rsidR="00765664" w:rsidTr="00E200D3">
        <w:trPr>
          <w:trHeight w:val="728"/>
        </w:trPr>
        <w:tc>
          <w:tcPr>
            <w:tcW w:w="1710" w:type="dxa"/>
            <w:shd w:val="clear" w:color="auto" w:fill="B8CCC4"/>
            <w:vAlign w:val="center"/>
          </w:tcPr>
          <w:p w:rsidR="00E200D3" w:rsidRPr="00E56188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Payee</w:t>
            </w:r>
          </w:p>
        </w:tc>
        <w:tc>
          <w:tcPr>
            <w:tcW w:w="990" w:type="dxa"/>
            <w:shd w:val="clear" w:color="auto" w:fill="B8CCC4"/>
            <w:vAlign w:val="center"/>
          </w:tcPr>
          <w:p w:rsidR="00E200D3" w:rsidRPr="00E56188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Date</w:t>
            </w:r>
            <w:r w:rsidR="00765664">
              <w:rPr>
                <w:rFonts w:ascii="Nunito Sans" w:hAnsi="Nunito Sans"/>
                <w:b/>
                <w:sz w:val="18"/>
                <w:szCs w:val="18"/>
              </w:rPr>
              <w:t xml:space="preserve"> Paid</w:t>
            </w:r>
          </w:p>
        </w:tc>
        <w:tc>
          <w:tcPr>
            <w:tcW w:w="1170" w:type="dxa"/>
            <w:shd w:val="clear" w:color="auto" w:fill="B8CCC4"/>
            <w:vAlign w:val="center"/>
          </w:tcPr>
          <w:p w:rsidR="00E200D3" w:rsidRPr="00E56188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Amount</w:t>
            </w:r>
          </w:p>
        </w:tc>
        <w:tc>
          <w:tcPr>
            <w:tcW w:w="1530" w:type="dxa"/>
            <w:shd w:val="clear" w:color="auto" w:fill="B8CCC4"/>
            <w:vAlign w:val="center"/>
          </w:tcPr>
          <w:p w:rsidR="00E200D3" w:rsidRPr="00E56188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Vendor Invoice Number</w:t>
            </w:r>
          </w:p>
        </w:tc>
        <w:tc>
          <w:tcPr>
            <w:tcW w:w="1530" w:type="dxa"/>
            <w:shd w:val="clear" w:color="auto" w:fill="B8CCC4"/>
            <w:vAlign w:val="center"/>
          </w:tcPr>
          <w:p w:rsidR="00E200D3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Payment Check Number</w:t>
            </w:r>
          </w:p>
        </w:tc>
        <w:tc>
          <w:tcPr>
            <w:tcW w:w="1518" w:type="dxa"/>
            <w:shd w:val="clear" w:color="auto" w:fill="B8CCC4"/>
            <w:vAlign w:val="center"/>
          </w:tcPr>
          <w:p w:rsidR="00E200D3" w:rsidRPr="00E56188" w:rsidRDefault="00E200D3" w:rsidP="007D3922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Contact Attorney</w:t>
            </w:r>
          </w:p>
        </w:tc>
        <w:tc>
          <w:tcPr>
            <w:tcW w:w="1349" w:type="dxa"/>
            <w:shd w:val="clear" w:color="auto" w:fill="B8CCC4"/>
            <w:vAlign w:val="center"/>
          </w:tcPr>
          <w:p w:rsidR="00E200D3" w:rsidRDefault="00E200D3" w:rsidP="00F00FA0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Case Number</w:t>
            </w:r>
          </w:p>
        </w:tc>
        <w:tc>
          <w:tcPr>
            <w:tcW w:w="1349" w:type="dxa"/>
            <w:shd w:val="clear" w:color="auto" w:fill="B8CCC4"/>
            <w:vAlign w:val="center"/>
          </w:tcPr>
          <w:p w:rsidR="00E200D3" w:rsidRDefault="00E200D3" w:rsidP="00461158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Expense Category</w:t>
            </w:r>
          </w:p>
        </w:tc>
        <w:tc>
          <w:tcPr>
            <w:tcW w:w="1368" w:type="dxa"/>
            <w:shd w:val="clear" w:color="auto" w:fill="B8CCC4"/>
            <w:vAlign w:val="center"/>
          </w:tcPr>
          <w:p w:rsidR="00E200D3" w:rsidRDefault="00E200D3" w:rsidP="00F00FA0">
            <w:pPr>
              <w:tabs>
                <w:tab w:val="left" w:pos="6660"/>
              </w:tabs>
              <w:jc w:val="both"/>
              <w:rPr>
                <w:rFonts w:ascii="Nunito Sans" w:hAnsi="Nunito Sans"/>
                <w:b/>
                <w:sz w:val="18"/>
                <w:szCs w:val="18"/>
              </w:rPr>
            </w:pPr>
            <w:r>
              <w:rPr>
                <w:rFonts w:ascii="Nunito Sans" w:hAnsi="Nunito Sans"/>
                <w:b/>
                <w:sz w:val="18"/>
                <w:szCs w:val="18"/>
              </w:rPr>
              <w:t>Purpose/Type</w:t>
            </w:r>
          </w:p>
        </w:tc>
        <w:tc>
          <w:tcPr>
            <w:tcW w:w="1256" w:type="dxa"/>
            <w:shd w:val="clear" w:color="auto" w:fill="EBBC4E"/>
            <w:vAlign w:val="center"/>
          </w:tcPr>
          <w:p w:rsidR="00E200D3" w:rsidRPr="00461158" w:rsidRDefault="00E200D3" w:rsidP="00F00FA0">
            <w:pPr>
              <w:tabs>
                <w:tab w:val="left" w:pos="6660"/>
              </w:tabs>
              <w:jc w:val="center"/>
              <w:rPr>
                <w:rFonts w:ascii="Nunito Sans" w:hAnsi="Nunito Sans"/>
                <w:b/>
                <w:sz w:val="18"/>
                <w:szCs w:val="18"/>
              </w:rPr>
            </w:pPr>
            <w:r w:rsidRPr="00461158">
              <w:rPr>
                <w:rFonts w:ascii="Nunito Sans" w:hAnsi="Nunito Sans"/>
                <w:b/>
                <w:sz w:val="18"/>
                <w:szCs w:val="18"/>
              </w:rPr>
              <w:t>Total</w:t>
            </w:r>
          </w:p>
        </w:tc>
      </w:tr>
      <w:tr w:rsidR="00E200D3" w:rsidTr="00E200D3">
        <w:tc>
          <w:tcPr>
            <w:tcW w:w="1710" w:type="dxa"/>
            <w:vAlign w:val="center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Vendor Name 1</w:t>
            </w:r>
          </w:p>
        </w:tc>
        <w:tc>
          <w:tcPr>
            <w:tcW w:w="990" w:type="dxa"/>
            <w:vAlign w:val="center"/>
          </w:tcPr>
          <w:p w:rsidR="00E200D3" w:rsidRPr="00395FAE" w:rsidRDefault="00E200D3" w:rsidP="00E200D3">
            <w:pPr>
              <w:tabs>
                <w:tab w:val="left" w:pos="6660"/>
              </w:tabs>
            </w:pPr>
            <w:r>
              <w:t>01/01/2019</w:t>
            </w:r>
          </w:p>
        </w:tc>
        <w:tc>
          <w:tcPr>
            <w:tcW w:w="1170" w:type="dxa"/>
            <w:vAlign w:val="center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$10</w:t>
            </w:r>
          </w:p>
        </w:tc>
        <w:tc>
          <w:tcPr>
            <w:tcW w:w="1530" w:type="dxa"/>
            <w:vAlign w:val="center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  <w:r>
              <w:t>001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100</w:t>
            </w:r>
          </w:p>
        </w:tc>
        <w:tc>
          <w:tcPr>
            <w:tcW w:w="1518" w:type="dxa"/>
            <w:vAlign w:val="center"/>
          </w:tcPr>
          <w:p w:rsidR="00E200D3" w:rsidRPr="00395FAE" w:rsidRDefault="00765664" w:rsidP="00765664">
            <w:pPr>
              <w:tabs>
                <w:tab w:val="left" w:pos="6660"/>
              </w:tabs>
            </w:pPr>
            <w:r>
              <w:t>Doe Esq., Jane</w:t>
            </w: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Contract Services</w:t>
            </w:r>
          </w:p>
        </w:tc>
        <w:tc>
          <w:tcPr>
            <w:tcW w:w="1368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Contract Payment</w:t>
            </w:r>
          </w:p>
        </w:tc>
        <w:tc>
          <w:tcPr>
            <w:tcW w:w="1256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$10</w:t>
            </w: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Vendor Name 2</w:t>
            </w: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01/01/2019</w:t>
            </w: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$10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  <w:r>
              <w:t>001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101</w:t>
            </w: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765664" w:rsidP="007D3922">
            <w:pPr>
              <w:tabs>
                <w:tab w:val="left" w:pos="6660"/>
              </w:tabs>
            </w:pPr>
            <w:r>
              <w:t>19-120</w:t>
            </w:r>
          </w:p>
        </w:tc>
        <w:tc>
          <w:tcPr>
            <w:tcW w:w="1349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Training</w:t>
            </w:r>
          </w:p>
        </w:tc>
        <w:tc>
          <w:tcPr>
            <w:tcW w:w="1368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 xml:space="preserve">CLE Jan 2019 </w:t>
            </w:r>
          </w:p>
        </w:tc>
        <w:tc>
          <w:tcPr>
            <w:tcW w:w="1256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$10</w:t>
            </w: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Vendor Name 2</w:t>
            </w: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01/01/2019</w:t>
            </w: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$10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  <w:r>
              <w:t>002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101</w:t>
            </w: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765664" w:rsidP="007D3922">
            <w:pPr>
              <w:tabs>
                <w:tab w:val="left" w:pos="6660"/>
              </w:tabs>
            </w:pPr>
            <w:r>
              <w:t>19-121</w:t>
            </w:r>
          </w:p>
        </w:tc>
        <w:tc>
          <w:tcPr>
            <w:tcW w:w="1349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Reserve Funds</w:t>
            </w:r>
          </w:p>
        </w:tc>
        <w:tc>
          <w:tcPr>
            <w:tcW w:w="1368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Investigator</w:t>
            </w:r>
          </w:p>
        </w:tc>
        <w:tc>
          <w:tcPr>
            <w:tcW w:w="1256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$10</w:t>
            </w: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Vendor Name 3</w:t>
            </w: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01/01/2019</w:t>
            </w: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$10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  <w:r>
              <w:t>001</w:t>
            </w: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  <w:r>
              <w:t>102</w:t>
            </w: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765664" w:rsidP="007D3922">
            <w:pPr>
              <w:tabs>
                <w:tab w:val="left" w:pos="6660"/>
              </w:tabs>
            </w:pPr>
            <w:r>
              <w:t>19-123</w:t>
            </w:r>
          </w:p>
        </w:tc>
        <w:tc>
          <w:tcPr>
            <w:tcW w:w="1349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 xml:space="preserve">Conflict </w:t>
            </w:r>
          </w:p>
        </w:tc>
        <w:tc>
          <w:tcPr>
            <w:tcW w:w="1368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Hourly conflicts</w:t>
            </w:r>
          </w:p>
        </w:tc>
        <w:tc>
          <w:tcPr>
            <w:tcW w:w="1256" w:type="dxa"/>
          </w:tcPr>
          <w:p w:rsidR="00E200D3" w:rsidRPr="00395FAE" w:rsidRDefault="00A94420" w:rsidP="007D3922">
            <w:pPr>
              <w:tabs>
                <w:tab w:val="left" w:pos="6660"/>
              </w:tabs>
            </w:pPr>
            <w:r>
              <w:t>$10</w:t>
            </w: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  <w:tr w:rsidR="00E200D3" w:rsidTr="00E200D3">
        <w:tc>
          <w:tcPr>
            <w:tcW w:w="171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99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17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  <w:jc w:val="center"/>
            </w:pPr>
          </w:p>
        </w:tc>
        <w:tc>
          <w:tcPr>
            <w:tcW w:w="1530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51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49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368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  <w:tc>
          <w:tcPr>
            <w:tcW w:w="1256" w:type="dxa"/>
          </w:tcPr>
          <w:p w:rsidR="00E200D3" w:rsidRPr="00395FAE" w:rsidRDefault="00E200D3" w:rsidP="007D3922">
            <w:pPr>
              <w:tabs>
                <w:tab w:val="left" w:pos="6660"/>
              </w:tabs>
            </w:pPr>
          </w:p>
        </w:tc>
      </w:tr>
    </w:tbl>
    <w:p w:rsidR="0024195D" w:rsidRDefault="0024195D" w:rsidP="00497E7B"/>
    <w:sectPr w:rsidR="0024195D" w:rsidSect="00267C8D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D4" w:rsidRDefault="008542D4">
      <w:pPr>
        <w:spacing w:after="0" w:line="240" w:lineRule="auto"/>
      </w:pPr>
      <w:r>
        <w:separator/>
      </w:r>
    </w:p>
  </w:endnote>
  <w:endnote w:type="continuationSeparator" w:id="0">
    <w:p w:rsidR="008542D4" w:rsidRDefault="0085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072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FAE" w:rsidRDefault="00736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FAE" w:rsidRDefault="001E3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D4" w:rsidRDefault="008542D4">
      <w:pPr>
        <w:spacing w:after="0" w:line="240" w:lineRule="auto"/>
      </w:pPr>
      <w:r>
        <w:separator/>
      </w:r>
    </w:p>
  </w:footnote>
  <w:footnote w:type="continuationSeparator" w:id="0">
    <w:p w:rsidR="008542D4" w:rsidRDefault="0085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8E0"/>
    <w:multiLevelType w:val="hybridMultilevel"/>
    <w:tmpl w:val="86607A08"/>
    <w:lvl w:ilvl="0" w:tplc="EB56C6B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2D51A80"/>
    <w:multiLevelType w:val="hybridMultilevel"/>
    <w:tmpl w:val="9FEC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00457"/>
    <w:multiLevelType w:val="hybridMultilevel"/>
    <w:tmpl w:val="3590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F1"/>
    <w:rsid w:val="0000265B"/>
    <w:rsid w:val="0014465F"/>
    <w:rsid w:val="001E32C9"/>
    <w:rsid w:val="00215842"/>
    <w:rsid w:val="002244D5"/>
    <w:rsid w:val="0024195D"/>
    <w:rsid w:val="00262B99"/>
    <w:rsid w:val="00267C8D"/>
    <w:rsid w:val="002C1829"/>
    <w:rsid w:val="0036212A"/>
    <w:rsid w:val="003727FD"/>
    <w:rsid w:val="00385DFE"/>
    <w:rsid w:val="00397725"/>
    <w:rsid w:val="00430283"/>
    <w:rsid w:val="00446FA2"/>
    <w:rsid w:val="00452E17"/>
    <w:rsid w:val="00461158"/>
    <w:rsid w:val="00497E7B"/>
    <w:rsid w:val="00511CA3"/>
    <w:rsid w:val="00703CA0"/>
    <w:rsid w:val="00736255"/>
    <w:rsid w:val="00745C32"/>
    <w:rsid w:val="00765664"/>
    <w:rsid w:val="00771E98"/>
    <w:rsid w:val="0077753E"/>
    <w:rsid w:val="008542D4"/>
    <w:rsid w:val="00875201"/>
    <w:rsid w:val="008C44F3"/>
    <w:rsid w:val="009D2F16"/>
    <w:rsid w:val="009D7A24"/>
    <w:rsid w:val="00A34A12"/>
    <w:rsid w:val="00A6448B"/>
    <w:rsid w:val="00A94420"/>
    <w:rsid w:val="00B521A9"/>
    <w:rsid w:val="00B7239D"/>
    <w:rsid w:val="00BA41C2"/>
    <w:rsid w:val="00BE1415"/>
    <w:rsid w:val="00C108D0"/>
    <w:rsid w:val="00C93964"/>
    <w:rsid w:val="00C959F1"/>
    <w:rsid w:val="00CC1D6A"/>
    <w:rsid w:val="00CD0FFF"/>
    <w:rsid w:val="00D651C6"/>
    <w:rsid w:val="00DA0565"/>
    <w:rsid w:val="00DF3346"/>
    <w:rsid w:val="00DF6E59"/>
    <w:rsid w:val="00E200D3"/>
    <w:rsid w:val="00E56188"/>
    <w:rsid w:val="00E768F3"/>
    <w:rsid w:val="00E85769"/>
    <w:rsid w:val="00F00FA0"/>
    <w:rsid w:val="00F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53D6-7A75-4B8F-957B-A52324D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F1"/>
  </w:style>
  <w:style w:type="paragraph" w:styleId="Heading2">
    <w:name w:val="heading 2"/>
    <w:basedOn w:val="Normal"/>
    <w:next w:val="Normal"/>
    <w:link w:val="Heading2Char"/>
    <w:qFormat/>
    <w:rsid w:val="00C959F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9F1"/>
    <w:rPr>
      <w:rFonts w:ascii="Arial" w:eastAsia="Times New Roman" w:hAnsi="Arial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C9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9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9F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9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C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4714-161F-4F32-9171-6C647B74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Mosolf</dc:creator>
  <cp:keywords/>
  <dc:description/>
  <cp:lastModifiedBy>Katriina Adair</cp:lastModifiedBy>
  <cp:revision>2</cp:revision>
  <dcterms:created xsi:type="dcterms:W3CDTF">2019-08-29T21:16:00Z</dcterms:created>
  <dcterms:modified xsi:type="dcterms:W3CDTF">2019-08-29T21:16:00Z</dcterms:modified>
</cp:coreProperties>
</file>