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27A44" w14:textId="4D4B1348" w:rsidR="006750E6" w:rsidRPr="00CE2CA6" w:rsidRDefault="006750E6" w:rsidP="00251E64">
      <w:pPr>
        <w:jc w:val="center"/>
        <w:rPr>
          <w:rFonts w:ascii="Arial" w:hAnsi="Arial" w:cs="Arial"/>
          <w:b/>
        </w:rPr>
      </w:pPr>
      <w:bookmarkStart w:id="0" w:name="_Hlk17561742"/>
      <w:bookmarkStart w:id="1" w:name="_GoBack"/>
      <w:bookmarkEnd w:id="1"/>
      <w:r w:rsidRPr="00CE2CA6">
        <w:rPr>
          <w:rFonts w:ascii="Arial" w:hAnsi="Arial" w:cs="Arial"/>
          <w:b/>
        </w:rPr>
        <w:t>AMERICAN BAR ASSOCIATION</w:t>
      </w:r>
    </w:p>
    <w:p w14:paraId="542F88BF" w14:textId="2D0214C5" w:rsidR="0024265C" w:rsidRPr="00CE2CA6" w:rsidRDefault="0024265C" w:rsidP="00251E64">
      <w:pPr>
        <w:jc w:val="center"/>
        <w:rPr>
          <w:rFonts w:ascii="Arial" w:hAnsi="Arial" w:cs="Arial"/>
          <w:b/>
        </w:rPr>
      </w:pPr>
    </w:p>
    <w:p w14:paraId="43E3A654" w14:textId="23A364DB" w:rsidR="0024265C" w:rsidRPr="00CE2CA6" w:rsidRDefault="00B35877" w:rsidP="00251E64">
      <w:pPr>
        <w:jc w:val="center"/>
        <w:rPr>
          <w:rFonts w:ascii="Arial" w:hAnsi="Arial" w:cs="Arial"/>
          <w:b/>
        </w:rPr>
      </w:pPr>
      <w:r w:rsidRPr="00CE2CA6">
        <w:rPr>
          <w:rFonts w:ascii="Arial" w:hAnsi="Arial" w:cs="Arial"/>
          <w:b/>
        </w:rPr>
        <w:t>STANDING COMMITTEE ON LEGAL AID AND INDIGENT DEFENDANTS</w:t>
      </w:r>
    </w:p>
    <w:p w14:paraId="47195127" w14:textId="77777777" w:rsidR="006750E6" w:rsidRPr="00CE2CA6" w:rsidRDefault="006750E6" w:rsidP="00251E64">
      <w:pPr>
        <w:jc w:val="center"/>
        <w:rPr>
          <w:rFonts w:ascii="Arial" w:hAnsi="Arial" w:cs="Arial"/>
          <w:b/>
        </w:rPr>
      </w:pPr>
    </w:p>
    <w:p w14:paraId="5F3A037E" w14:textId="77777777" w:rsidR="006750E6" w:rsidRPr="00CE2CA6" w:rsidRDefault="006750E6" w:rsidP="00251E64">
      <w:pPr>
        <w:jc w:val="center"/>
        <w:rPr>
          <w:rFonts w:ascii="Arial" w:hAnsi="Arial" w:cs="Arial"/>
          <w:b/>
        </w:rPr>
      </w:pPr>
      <w:r w:rsidRPr="00CE2CA6">
        <w:rPr>
          <w:rFonts w:ascii="Arial" w:hAnsi="Arial" w:cs="Arial"/>
          <w:b/>
        </w:rPr>
        <w:t>REPORT TO THE HOUSE OF DELEGATES</w:t>
      </w:r>
    </w:p>
    <w:p w14:paraId="4FA4E917" w14:textId="77777777" w:rsidR="006750E6" w:rsidRPr="00CE2CA6" w:rsidRDefault="006750E6" w:rsidP="00251E64">
      <w:pPr>
        <w:jc w:val="center"/>
        <w:rPr>
          <w:rFonts w:ascii="Arial" w:hAnsi="Arial" w:cs="Arial"/>
          <w:b/>
        </w:rPr>
      </w:pPr>
    </w:p>
    <w:p w14:paraId="048EFBEA" w14:textId="77777777" w:rsidR="006750E6" w:rsidRPr="00CE2CA6" w:rsidRDefault="006750E6" w:rsidP="00251E64">
      <w:pPr>
        <w:jc w:val="center"/>
        <w:rPr>
          <w:rFonts w:ascii="Arial" w:hAnsi="Arial" w:cs="Arial"/>
          <w:b/>
          <w:u w:val="single"/>
        </w:rPr>
      </w:pPr>
      <w:r w:rsidRPr="00CE2CA6">
        <w:rPr>
          <w:rFonts w:ascii="Arial" w:hAnsi="Arial" w:cs="Arial"/>
          <w:b/>
          <w:u w:val="single"/>
        </w:rPr>
        <w:t>RESOLUTION</w:t>
      </w:r>
    </w:p>
    <w:p w14:paraId="7C62EA57" w14:textId="77777777" w:rsidR="006750E6" w:rsidRPr="00CE2CA6" w:rsidRDefault="006750E6">
      <w:pPr>
        <w:rPr>
          <w:rFonts w:ascii="Arial" w:hAnsi="Arial" w:cs="Arial"/>
        </w:rPr>
      </w:pPr>
    </w:p>
    <w:p w14:paraId="79C4FD7E" w14:textId="77777777" w:rsidR="006750E6" w:rsidRPr="00CE2CA6" w:rsidRDefault="006750E6">
      <w:pPr>
        <w:rPr>
          <w:rFonts w:ascii="Arial" w:hAnsi="Arial" w:cs="Arial"/>
        </w:rPr>
        <w:sectPr w:rsidR="006750E6" w:rsidRPr="00CE2CA6" w:rsidSect="00E643C5">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1440" w:left="1440" w:header="720" w:footer="720" w:gutter="0"/>
          <w:cols w:space="720"/>
          <w:docGrid w:linePitch="360"/>
        </w:sectPr>
      </w:pPr>
    </w:p>
    <w:p w14:paraId="173A5D1E" w14:textId="06FD4E6D" w:rsidR="0024265C" w:rsidRPr="00CE2CA6" w:rsidRDefault="00885C3F" w:rsidP="00245D33">
      <w:pPr>
        <w:jc w:val="both"/>
        <w:rPr>
          <w:rFonts w:ascii="Arial" w:hAnsi="Arial" w:cs="Arial"/>
        </w:rPr>
      </w:pPr>
      <w:r w:rsidRPr="00CE2CA6">
        <w:rPr>
          <w:rFonts w:ascii="Arial" w:hAnsi="Arial" w:cs="Arial"/>
        </w:rPr>
        <w:lastRenderedPageBreak/>
        <w:t xml:space="preserve">RESOLVED, </w:t>
      </w:r>
      <w:r w:rsidR="0024265C" w:rsidRPr="00CE2CA6">
        <w:rPr>
          <w:rFonts w:ascii="Arial" w:hAnsi="Arial" w:cs="Arial"/>
        </w:rPr>
        <w:t>That the American Bar Association urges federal, state, local, territorial, and tribal governments to</w:t>
      </w:r>
      <w:r w:rsidR="00BE14C7" w:rsidRPr="00CE2CA6">
        <w:rPr>
          <w:rFonts w:ascii="Arial" w:hAnsi="Arial" w:cs="Arial"/>
        </w:rPr>
        <w:t xml:space="preserve"> use a considered and measured approach in adopting</w:t>
      </w:r>
      <w:r w:rsidR="00BC49E2" w:rsidRPr="00CE2CA6">
        <w:rPr>
          <w:rFonts w:ascii="Arial" w:hAnsi="Arial" w:cs="Arial"/>
        </w:rPr>
        <w:t xml:space="preserve">, utilizing or </w:t>
      </w:r>
      <w:r w:rsidR="00BE14C7" w:rsidRPr="00CE2CA6">
        <w:rPr>
          <w:rFonts w:ascii="Arial" w:hAnsi="Arial" w:cs="Arial"/>
        </w:rPr>
        <w:t>continuing virtual or remote court proceedings</w:t>
      </w:r>
      <w:r w:rsidR="003207CA" w:rsidRPr="00CE2CA6">
        <w:rPr>
          <w:rFonts w:ascii="Arial" w:hAnsi="Arial" w:cs="Arial"/>
        </w:rPr>
        <w:t xml:space="preserve"> established as a result of the COVID-19 pandemic</w:t>
      </w:r>
      <w:r w:rsidR="00115619" w:rsidRPr="00CE2CA6">
        <w:rPr>
          <w:rFonts w:ascii="Arial" w:hAnsi="Arial" w:cs="Arial"/>
        </w:rPr>
        <w:t xml:space="preserve">, prioritizing essential proceedings and </w:t>
      </w:r>
      <w:r w:rsidR="00735C38" w:rsidRPr="00CE2CA6">
        <w:rPr>
          <w:rFonts w:ascii="Arial" w:hAnsi="Arial" w:cs="Arial"/>
        </w:rPr>
        <w:t>those cases in which litigants consent to the use of virtual or remote processes</w:t>
      </w:r>
      <w:r w:rsidR="00C830E8" w:rsidRPr="00CE2CA6">
        <w:rPr>
          <w:rFonts w:ascii="Arial" w:hAnsi="Arial" w:cs="Arial"/>
        </w:rPr>
        <w:t>.</w:t>
      </w:r>
    </w:p>
    <w:p w14:paraId="526B5612" w14:textId="1B37A530" w:rsidR="00C830E8" w:rsidRPr="00CE2CA6" w:rsidRDefault="00C830E8" w:rsidP="00245D33">
      <w:pPr>
        <w:jc w:val="both"/>
        <w:rPr>
          <w:rFonts w:ascii="Arial" w:hAnsi="Arial" w:cs="Arial"/>
        </w:rPr>
      </w:pPr>
    </w:p>
    <w:p w14:paraId="40C8D790" w14:textId="0F045E20" w:rsidR="00691E8B" w:rsidRPr="00CE2CA6" w:rsidRDefault="00691E8B" w:rsidP="00245D33">
      <w:pPr>
        <w:jc w:val="both"/>
        <w:rPr>
          <w:rFonts w:ascii="Arial" w:hAnsi="Arial" w:cs="Arial"/>
        </w:rPr>
      </w:pPr>
      <w:r w:rsidRPr="00CE2CA6">
        <w:rPr>
          <w:rFonts w:ascii="Arial" w:hAnsi="Arial" w:cs="Arial"/>
        </w:rPr>
        <w:t xml:space="preserve">FURTHER RESOLVED, That the American Bar Association urges federal, state, local, territorial, and tribal governments </w:t>
      </w:r>
      <w:r w:rsidR="007E6BF6" w:rsidRPr="00CE2CA6">
        <w:rPr>
          <w:rFonts w:ascii="Arial" w:hAnsi="Arial" w:cs="Arial"/>
        </w:rPr>
        <w:t xml:space="preserve">to </w:t>
      </w:r>
      <w:r w:rsidR="001149AB" w:rsidRPr="00CE2CA6">
        <w:rPr>
          <w:rFonts w:ascii="Arial" w:hAnsi="Arial" w:cs="Arial"/>
        </w:rPr>
        <w:t>form</w:t>
      </w:r>
      <w:r w:rsidRPr="00CE2CA6">
        <w:rPr>
          <w:rFonts w:ascii="Arial" w:hAnsi="Arial" w:cs="Arial"/>
        </w:rPr>
        <w:t xml:space="preserve"> appropriate committees to </w:t>
      </w:r>
      <w:r w:rsidR="009F5F47" w:rsidRPr="00CE2CA6">
        <w:rPr>
          <w:rFonts w:ascii="Arial" w:hAnsi="Arial" w:cs="Arial"/>
        </w:rPr>
        <w:t>establish</w:t>
      </w:r>
      <w:r w:rsidR="000E2317" w:rsidRPr="00CE2CA6">
        <w:rPr>
          <w:rFonts w:ascii="Arial" w:hAnsi="Arial" w:cs="Arial"/>
        </w:rPr>
        <w:t xml:space="preserve"> or </w:t>
      </w:r>
      <w:r w:rsidRPr="00CE2CA6">
        <w:rPr>
          <w:rFonts w:ascii="Arial" w:hAnsi="Arial" w:cs="Arial"/>
        </w:rPr>
        <w:t>revie</w:t>
      </w:r>
      <w:r w:rsidR="00FE4B92" w:rsidRPr="00CE2CA6">
        <w:rPr>
          <w:rFonts w:ascii="Arial" w:hAnsi="Arial" w:cs="Arial"/>
        </w:rPr>
        <w:t>w</w:t>
      </w:r>
      <w:r w:rsidRPr="00CE2CA6">
        <w:rPr>
          <w:rFonts w:ascii="Arial" w:hAnsi="Arial" w:cs="Arial"/>
        </w:rPr>
        <w:t xml:space="preserve"> </w:t>
      </w:r>
      <w:r w:rsidR="009432E1" w:rsidRPr="00CE2CA6">
        <w:rPr>
          <w:rFonts w:ascii="Arial" w:hAnsi="Arial" w:cs="Arial"/>
        </w:rPr>
        <w:t>virtual or remote</w:t>
      </w:r>
      <w:r w:rsidRPr="00CE2CA6">
        <w:rPr>
          <w:rFonts w:ascii="Arial" w:hAnsi="Arial" w:cs="Arial"/>
        </w:rPr>
        <w:t xml:space="preserve"> court proceedings</w:t>
      </w:r>
      <w:r w:rsidR="00FE4B92" w:rsidRPr="00CE2CA6">
        <w:rPr>
          <w:rFonts w:ascii="Arial" w:hAnsi="Arial" w:cs="Arial"/>
        </w:rPr>
        <w:t xml:space="preserve"> and make recommendations for </w:t>
      </w:r>
      <w:r w:rsidR="00C62571" w:rsidRPr="00CE2CA6">
        <w:rPr>
          <w:rFonts w:ascii="Arial" w:hAnsi="Arial" w:cs="Arial"/>
        </w:rPr>
        <w:t>procedures</w:t>
      </w:r>
      <w:r w:rsidR="002C5583" w:rsidRPr="00CE2CA6">
        <w:rPr>
          <w:rFonts w:ascii="Arial" w:hAnsi="Arial" w:cs="Arial"/>
        </w:rPr>
        <w:t xml:space="preserve">, </w:t>
      </w:r>
      <w:r w:rsidR="00FE4B92" w:rsidRPr="00CE2CA6">
        <w:rPr>
          <w:rFonts w:ascii="Arial" w:hAnsi="Arial" w:cs="Arial"/>
        </w:rPr>
        <w:t>alterations</w:t>
      </w:r>
      <w:r w:rsidR="00C62571" w:rsidRPr="00CE2CA6">
        <w:rPr>
          <w:rFonts w:ascii="Arial" w:hAnsi="Arial" w:cs="Arial"/>
        </w:rPr>
        <w:t xml:space="preserve"> of procedures</w:t>
      </w:r>
      <w:r w:rsidR="002C5583" w:rsidRPr="00CE2CA6">
        <w:rPr>
          <w:rFonts w:ascii="Arial" w:hAnsi="Arial" w:cs="Arial"/>
        </w:rPr>
        <w:t xml:space="preserve"> and best practices</w:t>
      </w:r>
      <w:r w:rsidR="00FE4B92" w:rsidRPr="00CE2CA6">
        <w:rPr>
          <w:rFonts w:ascii="Arial" w:hAnsi="Arial" w:cs="Arial"/>
        </w:rPr>
        <w:t xml:space="preserve">. </w:t>
      </w:r>
      <w:r w:rsidR="00ED4D5C" w:rsidRPr="00CE2CA6">
        <w:rPr>
          <w:rFonts w:ascii="Arial" w:hAnsi="Arial" w:cs="Arial"/>
        </w:rPr>
        <w:t>Such committees should include</w:t>
      </w:r>
      <w:r w:rsidR="00E97DE6" w:rsidRPr="00CE2CA6">
        <w:rPr>
          <w:rFonts w:ascii="Arial" w:hAnsi="Arial" w:cs="Arial"/>
        </w:rPr>
        <w:t xml:space="preserve"> representatives of all constituencies involved in or impacted by the </w:t>
      </w:r>
      <w:r w:rsidR="00ED4D5C" w:rsidRPr="00CE2CA6">
        <w:rPr>
          <w:rFonts w:ascii="Arial" w:hAnsi="Arial" w:cs="Arial"/>
        </w:rPr>
        <w:t>type of court/proceeding</w:t>
      </w:r>
      <w:r w:rsidR="00E97DE6" w:rsidRPr="00CE2CA6">
        <w:rPr>
          <w:rFonts w:ascii="Arial" w:hAnsi="Arial" w:cs="Arial"/>
        </w:rPr>
        <w:t xml:space="preserve"> to be reviewed</w:t>
      </w:r>
      <w:r w:rsidR="00ED4D5C" w:rsidRPr="00CE2CA6">
        <w:rPr>
          <w:rFonts w:ascii="Arial" w:hAnsi="Arial" w:cs="Arial"/>
        </w:rPr>
        <w:t xml:space="preserve">, </w:t>
      </w:r>
      <w:r w:rsidR="00E97DE6" w:rsidRPr="00CE2CA6">
        <w:rPr>
          <w:rFonts w:ascii="Arial" w:hAnsi="Arial" w:cs="Arial"/>
        </w:rPr>
        <w:t>including</w:t>
      </w:r>
      <w:r w:rsidR="00BE7FCA" w:rsidRPr="00CE2CA6">
        <w:rPr>
          <w:rFonts w:ascii="Arial" w:hAnsi="Arial" w:cs="Arial"/>
        </w:rPr>
        <w:t xml:space="preserve">, as appropriate, </w:t>
      </w:r>
      <w:r w:rsidR="00ED4D5C" w:rsidRPr="00CE2CA6">
        <w:rPr>
          <w:rFonts w:ascii="Arial" w:hAnsi="Arial" w:cs="Arial"/>
        </w:rPr>
        <w:t>representatives of</w:t>
      </w:r>
      <w:r w:rsidR="00884BDA" w:rsidRPr="00CE2CA6">
        <w:rPr>
          <w:rFonts w:ascii="Arial" w:hAnsi="Arial" w:cs="Arial"/>
        </w:rPr>
        <w:t xml:space="preserve"> legal aid organizations, public defense providers, non-represented litigants, </w:t>
      </w:r>
      <w:r w:rsidR="00B351E0" w:rsidRPr="00CE2CA6">
        <w:rPr>
          <w:rFonts w:ascii="Arial" w:hAnsi="Arial" w:cs="Arial"/>
        </w:rPr>
        <w:t>organizations or programs that provide assistance to non-represented litigants</w:t>
      </w:r>
      <w:r w:rsidR="00884BDA" w:rsidRPr="00CE2CA6">
        <w:rPr>
          <w:rFonts w:ascii="Arial" w:hAnsi="Arial" w:cs="Arial"/>
        </w:rPr>
        <w:t xml:space="preserve">, </w:t>
      </w:r>
      <w:r w:rsidR="00462E58" w:rsidRPr="00CE2CA6">
        <w:rPr>
          <w:rFonts w:ascii="Arial" w:hAnsi="Arial" w:cs="Arial"/>
        </w:rPr>
        <w:t xml:space="preserve">victims representatives, </w:t>
      </w:r>
      <w:r w:rsidR="00383113" w:rsidRPr="00CE2CA6">
        <w:rPr>
          <w:rFonts w:ascii="Arial" w:hAnsi="Arial" w:cs="Arial"/>
        </w:rPr>
        <w:t xml:space="preserve">prosecutors or other government agency representatives, </w:t>
      </w:r>
      <w:r w:rsidR="00884BDA" w:rsidRPr="00CE2CA6">
        <w:rPr>
          <w:rFonts w:ascii="Arial" w:hAnsi="Arial" w:cs="Arial"/>
        </w:rPr>
        <w:t>private prac</w:t>
      </w:r>
      <w:r w:rsidR="00462E58" w:rsidRPr="00CE2CA6">
        <w:rPr>
          <w:rFonts w:ascii="Arial" w:hAnsi="Arial" w:cs="Arial"/>
        </w:rPr>
        <w:t>t</w:t>
      </w:r>
      <w:r w:rsidR="00884BDA" w:rsidRPr="00CE2CA6">
        <w:rPr>
          <w:rFonts w:ascii="Arial" w:hAnsi="Arial" w:cs="Arial"/>
        </w:rPr>
        <w:t xml:space="preserve">itioners, </w:t>
      </w:r>
      <w:r w:rsidR="00462E58" w:rsidRPr="00CE2CA6">
        <w:rPr>
          <w:rFonts w:ascii="Arial" w:hAnsi="Arial" w:cs="Arial"/>
        </w:rPr>
        <w:t>judges, court administrators and clerks</w:t>
      </w:r>
      <w:r w:rsidR="00DC050B" w:rsidRPr="00CE2CA6">
        <w:rPr>
          <w:rFonts w:ascii="Arial" w:hAnsi="Arial" w:cs="Arial"/>
        </w:rPr>
        <w:t>,</w:t>
      </w:r>
      <w:r w:rsidR="00462E58" w:rsidRPr="00CE2CA6">
        <w:rPr>
          <w:rFonts w:ascii="Arial" w:hAnsi="Arial" w:cs="Arial"/>
        </w:rPr>
        <w:t xml:space="preserve"> </w:t>
      </w:r>
      <w:r w:rsidR="009F5F47" w:rsidRPr="00CE2CA6">
        <w:rPr>
          <w:rFonts w:ascii="Arial" w:hAnsi="Arial" w:cs="Arial"/>
        </w:rPr>
        <w:t>the Access to Justice Commission</w:t>
      </w:r>
      <w:r w:rsidR="00E62C76" w:rsidRPr="00CE2CA6">
        <w:rPr>
          <w:rFonts w:ascii="Arial" w:hAnsi="Arial" w:cs="Arial"/>
        </w:rPr>
        <w:t>s</w:t>
      </w:r>
      <w:r w:rsidR="009F5F47" w:rsidRPr="00CE2CA6">
        <w:rPr>
          <w:rFonts w:ascii="Arial" w:hAnsi="Arial" w:cs="Arial"/>
        </w:rPr>
        <w:t xml:space="preserve">, </w:t>
      </w:r>
      <w:r w:rsidR="00FD0877" w:rsidRPr="00CE2CA6">
        <w:rPr>
          <w:rFonts w:ascii="Arial" w:hAnsi="Arial" w:cs="Arial"/>
        </w:rPr>
        <w:t>pretrial services, probation and parole agencies</w:t>
      </w:r>
      <w:r w:rsidR="00DC050B" w:rsidRPr="00CE2CA6">
        <w:rPr>
          <w:rFonts w:ascii="Arial" w:hAnsi="Arial" w:cs="Arial"/>
        </w:rPr>
        <w:t>, and jail</w:t>
      </w:r>
      <w:r w:rsidR="00AB1954" w:rsidRPr="00CE2CA6">
        <w:rPr>
          <w:rFonts w:ascii="Arial" w:hAnsi="Arial" w:cs="Arial"/>
        </w:rPr>
        <w:t xml:space="preserve"> administrators.</w:t>
      </w:r>
    </w:p>
    <w:p w14:paraId="794D34EF" w14:textId="77777777" w:rsidR="00691E8B" w:rsidRPr="00CE2CA6" w:rsidRDefault="00691E8B" w:rsidP="00C830E8">
      <w:pPr>
        <w:jc w:val="both"/>
        <w:rPr>
          <w:rFonts w:ascii="Arial" w:hAnsi="Arial" w:cs="Arial"/>
        </w:rPr>
      </w:pPr>
    </w:p>
    <w:p w14:paraId="5A588B08" w14:textId="4DCF7A38" w:rsidR="00B3377D" w:rsidRPr="00CE2CA6" w:rsidRDefault="00C830E8" w:rsidP="00CF6478">
      <w:pPr>
        <w:jc w:val="both"/>
        <w:rPr>
          <w:rFonts w:ascii="Arial" w:hAnsi="Arial" w:cs="Arial"/>
        </w:rPr>
      </w:pPr>
      <w:r w:rsidRPr="00CE2CA6">
        <w:rPr>
          <w:rFonts w:ascii="Arial" w:hAnsi="Arial" w:cs="Arial"/>
        </w:rPr>
        <w:t xml:space="preserve">FURTHER RESOLVED, That the American Bar Association urges federal, state, local, territorial, and tribal governments </w:t>
      </w:r>
      <w:r w:rsidR="00BE14C7" w:rsidRPr="00CE2CA6">
        <w:rPr>
          <w:rFonts w:ascii="Arial" w:hAnsi="Arial" w:cs="Arial"/>
        </w:rPr>
        <w:t>to ensure that virtual or remote court proceedings</w:t>
      </w:r>
      <w:r w:rsidR="003F7719" w:rsidRPr="00CE2CA6">
        <w:rPr>
          <w:rFonts w:ascii="Arial" w:hAnsi="Arial" w:cs="Arial"/>
        </w:rPr>
        <w:t xml:space="preserve"> </w:t>
      </w:r>
      <w:r w:rsidR="00EC63FF" w:rsidRPr="00CE2CA6">
        <w:rPr>
          <w:rFonts w:ascii="Arial" w:hAnsi="Arial" w:cs="Arial"/>
        </w:rPr>
        <w:t>guarantee</w:t>
      </w:r>
      <w:r w:rsidR="003F7719" w:rsidRPr="00CE2CA6">
        <w:rPr>
          <w:rFonts w:ascii="Arial" w:hAnsi="Arial" w:cs="Arial"/>
        </w:rPr>
        <w:t xml:space="preserve"> equal access and </w:t>
      </w:r>
      <w:r w:rsidR="00637875" w:rsidRPr="00CE2CA6">
        <w:rPr>
          <w:rFonts w:ascii="Arial" w:hAnsi="Arial" w:cs="Arial"/>
        </w:rPr>
        <w:t xml:space="preserve">meet standards of </w:t>
      </w:r>
      <w:r w:rsidR="003F7719" w:rsidRPr="00CE2CA6">
        <w:rPr>
          <w:rFonts w:ascii="Arial" w:hAnsi="Arial" w:cs="Arial"/>
        </w:rPr>
        <w:t>fundamental fairness</w:t>
      </w:r>
      <w:r w:rsidR="007765C2" w:rsidRPr="00CE2CA6">
        <w:rPr>
          <w:rFonts w:ascii="Arial" w:hAnsi="Arial" w:cs="Arial"/>
        </w:rPr>
        <w:t xml:space="preserve">. Such proceedings must be </w:t>
      </w:r>
      <w:r w:rsidR="00B3377D" w:rsidRPr="00CE2CA6">
        <w:rPr>
          <w:rFonts w:ascii="Arial" w:hAnsi="Arial" w:cs="Arial"/>
        </w:rPr>
        <w:t>tailored to the needs of participants</w:t>
      </w:r>
      <w:r w:rsidR="000F6020" w:rsidRPr="00CE2CA6">
        <w:rPr>
          <w:rFonts w:ascii="Arial" w:hAnsi="Arial" w:cs="Arial"/>
        </w:rPr>
        <w:t xml:space="preserve"> and take into account the type of case and proceeding to be conducte</w:t>
      </w:r>
      <w:r w:rsidR="00D55BFB" w:rsidRPr="00CE2CA6">
        <w:rPr>
          <w:rFonts w:ascii="Arial" w:hAnsi="Arial" w:cs="Arial"/>
        </w:rPr>
        <w:t xml:space="preserve">d, </w:t>
      </w:r>
      <w:r w:rsidR="000F6020" w:rsidRPr="00CE2CA6">
        <w:rPr>
          <w:rFonts w:ascii="Arial" w:hAnsi="Arial" w:cs="Arial"/>
        </w:rPr>
        <w:t xml:space="preserve">the participants involved, </w:t>
      </w:r>
      <w:r w:rsidR="00D55BFB" w:rsidRPr="00CE2CA6">
        <w:rPr>
          <w:rFonts w:ascii="Arial" w:hAnsi="Arial" w:cs="Arial"/>
        </w:rPr>
        <w:t xml:space="preserve">and </w:t>
      </w:r>
      <w:r w:rsidR="000F6020" w:rsidRPr="00CE2CA6">
        <w:rPr>
          <w:rFonts w:ascii="Arial" w:hAnsi="Arial" w:cs="Arial"/>
        </w:rPr>
        <w:t>whether participants are likely to be represented by counsel</w:t>
      </w:r>
      <w:r w:rsidR="007765C2" w:rsidRPr="00CE2CA6">
        <w:rPr>
          <w:rFonts w:ascii="Arial" w:hAnsi="Arial" w:cs="Arial"/>
        </w:rPr>
        <w:t>. To do this, jurisdictions should</w:t>
      </w:r>
      <w:r w:rsidR="003A0358" w:rsidRPr="00CE2CA6">
        <w:rPr>
          <w:rFonts w:ascii="Arial" w:hAnsi="Arial" w:cs="Arial"/>
        </w:rPr>
        <w:t>:</w:t>
      </w:r>
    </w:p>
    <w:p w14:paraId="123E5D6D" w14:textId="4A39928B" w:rsidR="00DB65F1" w:rsidRPr="00CE2CA6" w:rsidRDefault="00DB65F1" w:rsidP="00DB65F1">
      <w:pPr>
        <w:pStyle w:val="ListParagraph"/>
        <w:numPr>
          <w:ilvl w:val="0"/>
          <w:numId w:val="4"/>
        </w:numPr>
        <w:jc w:val="both"/>
        <w:rPr>
          <w:rFonts w:ascii="Arial" w:hAnsi="Arial" w:cs="Arial"/>
        </w:rPr>
      </w:pPr>
      <w:r w:rsidRPr="00CE2CA6">
        <w:rPr>
          <w:rFonts w:ascii="Arial" w:hAnsi="Arial" w:cs="Arial"/>
        </w:rPr>
        <w:t xml:space="preserve">Consider the ability of </w:t>
      </w:r>
      <w:r w:rsidR="00027840" w:rsidRPr="00CE2CA6">
        <w:rPr>
          <w:rFonts w:ascii="Arial" w:hAnsi="Arial" w:cs="Arial"/>
        </w:rPr>
        <w:t xml:space="preserve">all </w:t>
      </w:r>
      <w:r w:rsidR="00213708" w:rsidRPr="00CE2CA6">
        <w:rPr>
          <w:rFonts w:ascii="Arial" w:hAnsi="Arial" w:cs="Arial"/>
        </w:rPr>
        <w:t>participants</w:t>
      </w:r>
      <w:r w:rsidRPr="00CE2CA6">
        <w:rPr>
          <w:rFonts w:ascii="Arial" w:hAnsi="Arial" w:cs="Arial"/>
        </w:rPr>
        <w:t xml:space="preserve"> to access</w:t>
      </w:r>
      <w:r w:rsidR="00213708" w:rsidRPr="00CE2CA6">
        <w:rPr>
          <w:rFonts w:ascii="Arial" w:hAnsi="Arial" w:cs="Arial"/>
        </w:rPr>
        <w:t xml:space="preserve"> and fully participate</w:t>
      </w:r>
      <w:r w:rsidRPr="00CE2CA6">
        <w:rPr>
          <w:rFonts w:ascii="Arial" w:hAnsi="Arial" w:cs="Arial"/>
        </w:rPr>
        <w:t xml:space="preserve"> </w:t>
      </w:r>
      <w:r w:rsidR="006C1D34" w:rsidRPr="00CE2CA6">
        <w:rPr>
          <w:rFonts w:ascii="Arial" w:hAnsi="Arial" w:cs="Arial"/>
        </w:rPr>
        <w:t>in the</w:t>
      </w:r>
      <w:r w:rsidRPr="00CE2CA6">
        <w:rPr>
          <w:rFonts w:ascii="Arial" w:hAnsi="Arial" w:cs="Arial"/>
        </w:rPr>
        <w:t xml:space="preserve"> proceedings, including:</w:t>
      </w:r>
    </w:p>
    <w:p w14:paraId="3F346C6B" w14:textId="1F381CA3" w:rsidR="0004780C" w:rsidRPr="00CE2CA6" w:rsidRDefault="0004780C" w:rsidP="0004780C">
      <w:pPr>
        <w:pStyle w:val="ListParagraph"/>
        <w:numPr>
          <w:ilvl w:val="1"/>
          <w:numId w:val="4"/>
        </w:numPr>
        <w:jc w:val="both"/>
        <w:rPr>
          <w:rFonts w:ascii="Arial" w:hAnsi="Arial" w:cs="Arial"/>
        </w:rPr>
      </w:pPr>
      <w:r w:rsidRPr="00CE2CA6">
        <w:rPr>
          <w:rFonts w:ascii="Arial" w:hAnsi="Arial" w:cs="Arial"/>
        </w:rPr>
        <w:t xml:space="preserve">Ensuring that participation options for virtual or remote court proceedings are free for participants and observers; </w:t>
      </w:r>
    </w:p>
    <w:p w14:paraId="7D92E33B" w14:textId="7CFADE70" w:rsidR="00DB65F1" w:rsidRPr="00CE2CA6" w:rsidRDefault="00481D2A" w:rsidP="00DB65F1">
      <w:pPr>
        <w:pStyle w:val="ListParagraph"/>
        <w:numPr>
          <w:ilvl w:val="1"/>
          <w:numId w:val="4"/>
        </w:numPr>
        <w:jc w:val="both"/>
        <w:rPr>
          <w:rFonts w:ascii="Arial" w:hAnsi="Arial" w:cs="Arial"/>
        </w:rPr>
      </w:pPr>
      <w:r w:rsidRPr="00CE2CA6">
        <w:rPr>
          <w:rFonts w:ascii="Arial" w:hAnsi="Arial" w:cs="Arial"/>
        </w:rPr>
        <w:t xml:space="preserve">Providing options </w:t>
      </w:r>
      <w:r w:rsidR="006C1D34" w:rsidRPr="00CE2CA6">
        <w:rPr>
          <w:rFonts w:ascii="Arial" w:hAnsi="Arial" w:cs="Arial"/>
        </w:rPr>
        <w:t xml:space="preserve">concerning </w:t>
      </w:r>
      <w:r w:rsidR="00DB65F1" w:rsidRPr="00CE2CA6">
        <w:rPr>
          <w:rFonts w:ascii="Arial" w:hAnsi="Arial" w:cs="Arial"/>
        </w:rPr>
        <w:t xml:space="preserve">participation and permitting participants to select </w:t>
      </w:r>
      <w:r w:rsidRPr="00CE2CA6">
        <w:rPr>
          <w:rFonts w:ascii="Arial" w:hAnsi="Arial" w:cs="Arial"/>
        </w:rPr>
        <w:t xml:space="preserve">the </w:t>
      </w:r>
      <w:r w:rsidR="00DB65F1" w:rsidRPr="00CE2CA6">
        <w:rPr>
          <w:rFonts w:ascii="Arial" w:hAnsi="Arial" w:cs="Arial"/>
        </w:rPr>
        <w:t>means</w:t>
      </w:r>
      <w:r w:rsidRPr="00CE2CA6">
        <w:rPr>
          <w:rFonts w:ascii="Arial" w:hAnsi="Arial" w:cs="Arial"/>
        </w:rPr>
        <w:t xml:space="preserve"> of participation</w:t>
      </w:r>
      <w:r w:rsidR="00DB65F1" w:rsidRPr="00CE2CA6">
        <w:rPr>
          <w:rFonts w:ascii="Arial" w:hAnsi="Arial" w:cs="Arial"/>
        </w:rPr>
        <w:t xml:space="preserve"> best suited to them without prejudice;</w:t>
      </w:r>
    </w:p>
    <w:p w14:paraId="112D31E7" w14:textId="24CF6151" w:rsidR="00481D2A" w:rsidRPr="00CE2CA6" w:rsidRDefault="00322ABD" w:rsidP="00DB65F1">
      <w:pPr>
        <w:pStyle w:val="ListParagraph"/>
        <w:numPr>
          <w:ilvl w:val="1"/>
          <w:numId w:val="4"/>
        </w:numPr>
        <w:jc w:val="both"/>
        <w:rPr>
          <w:rFonts w:ascii="Arial" w:hAnsi="Arial" w:cs="Arial"/>
        </w:rPr>
      </w:pPr>
      <w:r w:rsidRPr="00CE2CA6">
        <w:rPr>
          <w:rFonts w:ascii="Arial" w:hAnsi="Arial" w:cs="Arial"/>
        </w:rPr>
        <w:lastRenderedPageBreak/>
        <w:t>Allowing participants to alter</w:t>
      </w:r>
      <w:r w:rsidR="00481D2A" w:rsidRPr="00CE2CA6">
        <w:rPr>
          <w:rFonts w:ascii="Arial" w:hAnsi="Arial" w:cs="Arial"/>
        </w:rPr>
        <w:t xml:space="preserve"> the</w:t>
      </w:r>
      <w:r w:rsidR="00C44B8B" w:rsidRPr="00CE2CA6">
        <w:rPr>
          <w:rFonts w:ascii="Arial" w:hAnsi="Arial" w:cs="Arial"/>
        </w:rPr>
        <w:t>ir chosen</w:t>
      </w:r>
      <w:r w:rsidR="00481D2A" w:rsidRPr="00CE2CA6">
        <w:rPr>
          <w:rFonts w:ascii="Arial" w:hAnsi="Arial" w:cs="Arial"/>
        </w:rPr>
        <w:t xml:space="preserve"> means of participation </w:t>
      </w:r>
      <w:r w:rsidRPr="00CE2CA6">
        <w:rPr>
          <w:rFonts w:ascii="Arial" w:hAnsi="Arial" w:cs="Arial"/>
        </w:rPr>
        <w:t>for each proceeding</w:t>
      </w:r>
      <w:r w:rsidR="00481D2A" w:rsidRPr="00CE2CA6">
        <w:rPr>
          <w:rFonts w:ascii="Arial" w:hAnsi="Arial" w:cs="Arial"/>
        </w:rPr>
        <w:t xml:space="preserve">; </w:t>
      </w:r>
    </w:p>
    <w:p w14:paraId="75EECA37" w14:textId="51B9B993" w:rsidR="00FD6132" w:rsidRPr="00CE2CA6" w:rsidRDefault="00322ABD" w:rsidP="0058128B">
      <w:pPr>
        <w:pStyle w:val="ListParagraph"/>
        <w:numPr>
          <w:ilvl w:val="1"/>
          <w:numId w:val="4"/>
        </w:numPr>
        <w:jc w:val="both"/>
        <w:rPr>
          <w:rFonts w:ascii="Arial" w:hAnsi="Arial" w:cs="Arial"/>
        </w:rPr>
      </w:pPr>
      <w:r w:rsidRPr="00CE2CA6">
        <w:rPr>
          <w:rFonts w:ascii="Arial" w:hAnsi="Arial" w:cs="Arial"/>
        </w:rPr>
        <w:t xml:space="preserve">Providing </w:t>
      </w:r>
      <w:r w:rsidR="00DB65F1" w:rsidRPr="00CE2CA6">
        <w:rPr>
          <w:rFonts w:ascii="Arial" w:hAnsi="Arial" w:cs="Arial"/>
        </w:rPr>
        <w:t>necessary supports for those who, for financial, technological or other reason</w:t>
      </w:r>
      <w:r w:rsidR="00F17A6B" w:rsidRPr="00CE2CA6">
        <w:rPr>
          <w:rFonts w:ascii="Arial" w:hAnsi="Arial" w:cs="Arial"/>
        </w:rPr>
        <w:t>s</w:t>
      </w:r>
      <w:r w:rsidR="00DB65F1" w:rsidRPr="00CE2CA6">
        <w:rPr>
          <w:rFonts w:ascii="Arial" w:hAnsi="Arial" w:cs="Arial"/>
        </w:rPr>
        <w:t>, may not be able to fully participate without assistance; and</w:t>
      </w:r>
    </w:p>
    <w:p w14:paraId="135D3DD5" w14:textId="6A03517A" w:rsidR="00DB65F1" w:rsidRPr="00CE2CA6" w:rsidRDefault="00322ABD" w:rsidP="00DB65F1">
      <w:pPr>
        <w:pStyle w:val="ListParagraph"/>
        <w:numPr>
          <w:ilvl w:val="1"/>
          <w:numId w:val="4"/>
        </w:numPr>
        <w:jc w:val="both"/>
        <w:rPr>
          <w:rFonts w:ascii="Arial" w:hAnsi="Arial" w:cs="Arial"/>
        </w:rPr>
      </w:pPr>
      <w:r w:rsidRPr="00CE2CA6">
        <w:rPr>
          <w:rFonts w:ascii="Arial" w:hAnsi="Arial" w:cs="Arial"/>
        </w:rPr>
        <w:t>E</w:t>
      </w:r>
      <w:r w:rsidR="00DB65F1" w:rsidRPr="00CE2CA6">
        <w:rPr>
          <w:rFonts w:ascii="Arial" w:hAnsi="Arial" w:cs="Arial"/>
        </w:rPr>
        <w:t>nsuring that methods of participation reduce, to the fullest extent possible</w:t>
      </w:r>
      <w:r w:rsidR="006F1E93" w:rsidRPr="00CE2CA6">
        <w:rPr>
          <w:rFonts w:ascii="Arial" w:hAnsi="Arial" w:cs="Arial"/>
        </w:rPr>
        <w:t>, any prejudice that might result from the circumstances of participation</w:t>
      </w:r>
      <w:r w:rsidR="007E5E21" w:rsidRPr="00CE2CA6">
        <w:rPr>
          <w:rFonts w:ascii="Arial" w:hAnsi="Arial" w:cs="Arial"/>
        </w:rPr>
        <w:t>;</w:t>
      </w:r>
    </w:p>
    <w:p w14:paraId="7041620E" w14:textId="17477B4C" w:rsidR="008502D1" w:rsidRPr="00CE2CA6" w:rsidRDefault="00A47244" w:rsidP="00E01836">
      <w:pPr>
        <w:pStyle w:val="ListParagraph"/>
        <w:numPr>
          <w:ilvl w:val="0"/>
          <w:numId w:val="4"/>
        </w:numPr>
        <w:jc w:val="both"/>
        <w:rPr>
          <w:rFonts w:ascii="Arial" w:hAnsi="Arial" w:cs="Arial"/>
        </w:rPr>
      </w:pPr>
      <w:r w:rsidRPr="00CE2CA6">
        <w:rPr>
          <w:rFonts w:ascii="Arial" w:hAnsi="Arial" w:cs="Arial"/>
        </w:rPr>
        <w:t>Enable and encourage full attorney-client relationships, including permitting private consultation both before and during cour</w:t>
      </w:r>
      <w:r w:rsidR="008502D1" w:rsidRPr="00CE2CA6">
        <w:rPr>
          <w:rFonts w:ascii="Arial" w:hAnsi="Arial" w:cs="Arial"/>
        </w:rPr>
        <w:t>t proceedings</w:t>
      </w:r>
      <w:r w:rsidR="00882688" w:rsidRPr="00CE2CA6">
        <w:rPr>
          <w:rFonts w:ascii="Arial" w:hAnsi="Arial" w:cs="Arial"/>
        </w:rPr>
        <w:t>; and</w:t>
      </w:r>
    </w:p>
    <w:p w14:paraId="2C51D692" w14:textId="7C8ACFB4" w:rsidR="00882688" w:rsidRPr="00CE2CA6" w:rsidRDefault="00882688" w:rsidP="00882688">
      <w:pPr>
        <w:pStyle w:val="ListParagraph"/>
        <w:numPr>
          <w:ilvl w:val="0"/>
          <w:numId w:val="4"/>
        </w:numPr>
        <w:jc w:val="both"/>
        <w:rPr>
          <w:rFonts w:ascii="Arial" w:hAnsi="Arial" w:cs="Arial"/>
        </w:rPr>
      </w:pPr>
      <w:r w:rsidRPr="00CE2CA6">
        <w:rPr>
          <w:rFonts w:ascii="Arial" w:hAnsi="Arial" w:cs="Arial"/>
        </w:rPr>
        <w:t>Establish procedures for ensuring public access and/or privacy of the proceedings, as appropriate for the case and hearing type.</w:t>
      </w:r>
    </w:p>
    <w:p w14:paraId="19A3AB91" w14:textId="3A498346" w:rsidR="00FA333C" w:rsidRPr="00CE2CA6" w:rsidRDefault="00FA333C" w:rsidP="00685BB5">
      <w:pPr>
        <w:jc w:val="both"/>
        <w:rPr>
          <w:rFonts w:ascii="Arial" w:hAnsi="Arial" w:cs="Arial"/>
        </w:rPr>
      </w:pPr>
    </w:p>
    <w:p w14:paraId="4343A409" w14:textId="14A73189" w:rsidR="00685BB5" w:rsidRPr="00CE2CA6" w:rsidRDefault="00FA333C" w:rsidP="00453674">
      <w:pPr>
        <w:jc w:val="both"/>
        <w:rPr>
          <w:rFonts w:ascii="Arial" w:hAnsi="Arial" w:cs="Arial"/>
        </w:rPr>
      </w:pPr>
      <w:r w:rsidRPr="00CE2CA6">
        <w:rPr>
          <w:rFonts w:ascii="Arial" w:hAnsi="Arial" w:cs="Arial"/>
        </w:rPr>
        <w:t xml:space="preserve">FURTHER RESOLVED, That the American Bar Association urges federal, state, local, territorial, and tribal governments to </w:t>
      </w:r>
      <w:r w:rsidR="007C372A" w:rsidRPr="00CE2CA6">
        <w:rPr>
          <w:rFonts w:ascii="Arial" w:hAnsi="Arial" w:cs="Arial"/>
        </w:rPr>
        <w:t>study the impacts of virtual or remote court procedures and take steps</w:t>
      </w:r>
      <w:r w:rsidR="00236335" w:rsidRPr="00CE2CA6">
        <w:rPr>
          <w:rFonts w:ascii="Arial" w:hAnsi="Arial" w:cs="Arial"/>
        </w:rPr>
        <w:t xml:space="preserve"> to</w:t>
      </w:r>
      <w:r w:rsidR="001E4BDF" w:rsidRPr="00CE2CA6">
        <w:rPr>
          <w:rFonts w:ascii="Arial" w:hAnsi="Arial" w:cs="Arial"/>
        </w:rPr>
        <w:t xml:space="preserve"> halt,</w:t>
      </w:r>
      <w:r w:rsidR="00236335" w:rsidRPr="00CE2CA6">
        <w:rPr>
          <w:rFonts w:ascii="Arial" w:hAnsi="Arial" w:cs="Arial"/>
        </w:rPr>
        <w:t xml:space="preserve"> alter</w:t>
      </w:r>
      <w:r w:rsidR="009F75BC" w:rsidRPr="00CE2CA6">
        <w:rPr>
          <w:rFonts w:ascii="Arial" w:hAnsi="Arial" w:cs="Arial"/>
        </w:rPr>
        <w:t>,</w:t>
      </w:r>
      <w:r w:rsidR="00236335" w:rsidRPr="00CE2CA6">
        <w:rPr>
          <w:rFonts w:ascii="Arial" w:hAnsi="Arial" w:cs="Arial"/>
        </w:rPr>
        <w:t xml:space="preserve"> or adapt virtual or remote court procedures if such study </w:t>
      </w:r>
      <w:r w:rsidR="00453674" w:rsidRPr="00CE2CA6">
        <w:rPr>
          <w:rFonts w:ascii="Arial" w:hAnsi="Arial" w:cs="Arial"/>
        </w:rPr>
        <w:t>demonstrates</w:t>
      </w:r>
      <w:r w:rsidR="00236335" w:rsidRPr="00CE2CA6">
        <w:rPr>
          <w:rFonts w:ascii="Arial" w:hAnsi="Arial" w:cs="Arial"/>
        </w:rPr>
        <w:t xml:space="preserve"> prejudicial effect or disparate impact on outcomes</w:t>
      </w:r>
      <w:r w:rsidRPr="00CE2CA6">
        <w:rPr>
          <w:rFonts w:ascii="Arial" w:hAnsi="Arial" w:cs="Arial"/>
        </w:rPr>
        <w:t>.</w:t>
      </w:r>
    </w:p>
    <w:p w14:paraId="028BE564" w14:textId="5F25ABFB" w:rsidR="00685BB5" w:rsidRPr="00CE2CA6" w:rsidRDefault="00685BB5">
      <w:pPr>
        <w:rPr>
          <w:rFonts w:ascii="Arial" w:hAnsi="Arial" w:cs="Arial"/>
        </w:rPr>
        <w:sectPr w:rsidR="00685BB5" w:rsidRPr="00CE2CA6" w:rsidSect="00BB525C">
          <w:type w:val="continuous"/>
          <w:pgSz w:w="12240" w:h="15840"/>
          <w:pgMar w:top="1440" w:right="1800" w:bottom="1440" w:left="1800" w:header="720" w:footer="720" w:gutter="0"/>
          <w:lnNumType w:countBy="1" w:restart="continuous"/>
          <w:cols w:space="720"/>
          <w:docGrid w:linePitch="360"/>
        </w:sectPr>
      </w:pPr>
    </w:p>
    <w:p w14:paraId="4BEBD51D" w14:textId="77777777" w:rsidR="006750E6" w:rsidRPr="00CE2CA6" w:rsidRDefault="006750E6" w:rsidP="006D09D4">
      <w:pPr>
        <w:jc w:val="center"/>
        <w:rPr>
          <w:rFonts w:ascii="Arial" w:hAnsi="Arial" w:cs="Arial"/>
          <w:b/>
          <w:u w:val="single"/>
        </w:rPr>
      </w:pPr>
      <w:r w:rsidRPr="00CE2CA6">
        <w:rPr>
          <w:rFonts w:ascii="Arial" w:hAnsi="Arial" w:cs="Arial"/>
          <w:b/>
          <w:u w:val="single"/>
        </w:rPr>
        <w:lastRenderedPageBreak/>
        <w:t>REPORT</w:t>
      </w:r>
    </w:p>
    <w:p w14:paraId="315BA4B0" w14:textId="77777777" w:rsidR="005E3709" w:rsidRPr="00CE2CA6" w:rsidRDefault="005E3709" w:rsidP="006D09D4">
      <w:pPr>
        <w:jc w:val="center"/>
        <w:rPr>
          <w:rFonts w:ascii="Arial" w:hAnsi="Arial" w:cs="Arial"/>
          <w:b/>
          <w:u w:val="single"/>
        </w:rPr>
      </w:pPr>
    </w:p>
    <w:p w14:paraId="23C9B4AD" w14:textId="77777777" w:rsidR="005E3709" w:rsidRPr="00CE2CA6" w:rsidRDefault="005E3709" w:rsidP="00730FE5">
      <w:pPr>
        <w:jc w:val="both"/>
        <w:rPr>
          <w:rFonts w:ascii="Arial" w:hAnsi="Arial" w:cs="Arial"/>
          <w:b/>
          <w:u w:val="single"/>
        </w:rPr>
      </w:pPr>
    </w:p>
    <w:p w14:paraId="3A6EB242" w14:textId="0216246D" w:rsidR="009D4C32" w:rsidRPr="00CE2CA6" w:rsidRDefault="008876F8" w:rsidP="00DC1900">
      <w:pPr>
        <w:spacing w:after="240"/>
        <w:jc w:val="both"/>
        <w:rPr>
          <w:rFonts w:ascii="Arial" w:hAnsi="Arial" w:cs="Arial"/>
          <w:lang w:val="en"/>
        </w:rPr>
      </w:pPr>
      <w:r w:rsidRPr="00CE2CA6">
        <w:rPr>
          <w:rFonts w:ascii="Arial" w:hAnsi="Arial" w:cs="Arial"/>
          <w:lang w:val="en"/>
        </w:rPr>
        <w:t>During the COVID-19 pandemic, courts have endeavored find ways to operate safely</w:t>
      </w:r>
      <w:r w:rsidR="00796F32" w:rsidRPr="00CE2CA6">
        <w:rPr>
          <w:rFonts w:ascii="Arial" w:hAnsi="Arial" w:cs="Arial"/>
          <w:lang w:val="en"/>
        </w:rPr>
        <w:t>, while also ensuring that essential proceedings continue. In many jurisdictions, this has involved quickly setting up remote</w:t>
      </w:r>
      <w:r w:rsidR="00AF1E49">
        <w:rPr>
          <w:rFonts w:ascii="Arial" w:hAnsi="Arial" w:cs="Arial"/>
          <w:lang w:val="en"/>
        </w:rPr>
        <w:t xml:space="preserve"> or virtual</w:t>
      </w:r>
      <w:r w:rsidR="00796F32" w:rsidRPr="00CE2CA6">
        <w:rPr>
          <w:rFonts w:ascii="Arial" w:hAnsi="Arial" w:cs="Arial"/>
          <w:lang w:val="en"/>
        </w:rPr>
        <w:t xml:space="preserve"> courts, using meeting technologies such as Zoom or </w:t>
      </w:r>
      <w:r w:rsidR="000C2124" w:rsidRPr="00CE2CA6">
        <w:rPr>
          <w:rFonts w:ascii="Arial" w:hAnsi="Arial" w:cs="Arial"/>
          <w:lang w:val="en"/>
        </w:rPr>
        <w:t xml:space="preserve">Go to Meeting. </w:t>
      </w:r>
      <w:r w:rsidR="00F418C3" w:rsidRPr="00CE2CA6">
        <w:rPr>
          <w:rFonts w:ascii="Arial" w:hAnsi="Arial" w:cs="Arial"/>
          <w:lang w:val="en"/>
        </w:rPr>
        <w:t xml:space="preserve">In Texas, for example, </w:t>
      </w:r>
      <w:r w:rsidR="00587A75" w:rsidRPr="00CE2CA6">
        <w:rPr>
          <w:rFonts w:ascii="Arial" w:hAnsi="Arial" w:cs="Arial"/>
          <w:lang w:val="en"/>
        </w:rPr>
        <w:t xml:space="preserve">on </w:t>
      </w:r>
      <w:r w:rsidR="0085195B" w:rsidRPr="00CE2CA6">
        <w:rPr>
          <w:rFonts w:ascii="Arial" w:hAnsi="Arial" w:cs="Arial"/>
          <w:lang w:val="en"/>
        </w:rPr>
        <w:t xml:space="preserve">Thursday, </w:t>
      </w:r>
      <w:r w:rsidR="00587A75" w:rsidRPr="00CE2CA6">
        <w:rPr>
          <w:rFonts w:ascii="Arial" w:hAnsi="Arial" w:cs="Arial"/>
          <w:lang w:val="en"/>
        </w:rPr>
        <w:t>March 1</w:t>
      </w:r>
      <w:r w:rsidR="0085195B" w:rsidRPr="00CE2CA6">
        <w:rPr>
          <w:rFonts w:ascii="Arial" w:hAnsi="Arial" w:cs="Arial"/>
          <w:lang w:val="en"/>
        </w:rPr>
        <w:t>9</w:t>
      </w:r>
      <w:r w:rsidR="00587A75" w:rsidRPr="00CE2CA6">
        <w:rPr>
          <w:rFonts w:ascii="Arial" w:hAnsi="Arial" w:cs="Arial"/>
          <w:lang w:val="en"/>
        </w:rPr>
        <w:t>, 202</w:t>
      </w:r>
      <w:r w:rsidR="0085195B" w:rsidRPr="00CE2CA6">
        <w:rPr>
          <w:rFonts w:ascii="Arial" w:hAnsi="Arial" w:cs="Arial"/>
          <w:lang w:val="en"/>
        </w:rPr>
        <w:t>0</w:t>
      </w:r>
      <w:r w:rsidR="00587A75" w:rsidRPr="00CE2CA6">
        <w:rPr>
          <w:rFonts w:ascii="Arial" w:hAnsi="Arial" w:cs="Arial"/>
          <w:lang w:val="en"/>
        </w:rPr>
        <w:t xml:space="preserve">, </w:t>
      </w:r>
      <w:r w:rsidR="00F418C3" w:rsidRPr="00CE2CA6">
        <w:rPr>
          <w:rFonts w:ascii="Arial" w:hAnsi="Arial" w:cs="Arial"/>
          <w:lang w:val="en"/>
        </w:rPr>
        <w:t xml:space="preserve">the Office of Court Administration </w:t>
      </w:r>
      <w:r w:rsidR="0085195B" w:rsidRPr="00CE2CA6">
        <w:rPr>
          <w:rFonts w:ascii="Arial" w:hAnsi="Arial" w:cs="Arial"/>
          <w:lang w:val="en"/>
        </w:rPr>
        <w:t>advised judges that they had acquired 600 Zoom licenses to permit courts to go online starting Tuesday, March 24, 2020.</w:t>
      </w:r>
      <w:r w:rsidR="00EB64D5" w:rsidRPr="00CE2CA6">
        <w:rPr>
          <w:rFonts w:ascii="Arial" w:hAnsi="Arial" w:cs="Arial"/>
          <w:lang w:val="en"/>
        </w:rPr>
        <w:t xml:space="preserve"> In the first month of operation</w:t>
      </w:r>
      <w:r w:rsidR="00BF6796" w:rsidRPr="00CE2CA6">
        <w:rPr>
          <w:rFonts w:ascii="Arial" w:hAnsi="Arial" w:cs="Arial"/>
          <w:lang w:val="en"/>
        </w:rPr>
        <w:t>, Texas has held “more than 8,500 separate proceedings  . . . involving 113,000 participants and just over 1,300 judges.”</w:t>
      </w:r>
      <w:r w:rsidR="00BF6796" w:rsidRPr="00CE2CA6">
        <w:rPr>
          <w:rStyle w:val="FootnoteReference"/>
          <w:rFonts w:ascii="Arial" w:hAnsi="Arial" w:cs="Arial"/>
          <w:lang w:val="en"/>
        </w:rPr>
        <w:footnoteReference w:id="1"/>
      </w:r>
      <w:r w:rsidR="000C1A8F" w:rsidRPr="00CE2CA6">
        <w:rPr>
          <w:rFonts w:ascii="Arial" w:hAnsi="Arial" w:cs="Arial"/>
          <w:lang w:val="en"/>
        </w:rPr>
        <w:t xml:space="preserve"> </w:t>
      </w:r>
      <w:r w:rsidR="000573E7" w:rsidRPr="00CE2CA6">
        <w:rPr>
          <w:rFonts w:ascii="Arial" w:hAnsi="Arial" w:cs="Arial"/>
          <w:lang w:val="en"/>
        </w:rPr>
        <w:t xml:space="preserve">According to the National Center for State Courts, at least 40 states have issued some guidance on holding virtual </w:t>
      </w:r>
      <w:r w:rsidR="00E35618" w:rsidRPr="00CE2CA6">
        <w:rPr>
          <w:rFonts w:ascii="Arial" w:hAnsi="Arial" w:cs="Arial"/>
          <w:lang w:val="en"/>
        </w:rPr>
        <w:t xml:space="preserve">or remote </w:t>
      </w:r>
      <w:r w:rsidR="000573E7" w:rsidRPr="00CE2CA6">
        <w:rPr>
          <w:rFonts w:ascii="Arial" w:hAnsi="Arial" w:cs="Arial"/>
          <w:lang w:val="en"/>
        </w:rPr>
        <w:t>hearings, but the approaches vary widely.</w:t>
      </w:r>
      <w:r w:rsidR="000573E7" w:rsidRPr="00CE2CA6">
        <w:rPr>
          <w:rStyle w:val="FootnoteReference"/>
          <w:rFonts w:ascii="Arial" w:hAnsi="Arial" w:cs="Arial"/>
          <w:lang w:val="en"/>
        </w:rPr>
        <w:footnoteReference w:id="2"/>
      </w:r>
      <w:bookmarkEnd w:id="0"/>
      <w:r w:rsidR="00F2049D" w:rsidRPr="00CE2CA6">
        <w:rPr>
          <w:rFonts w:ascii="Arial" w:hAnsi="Arial" w:cs="Arial"/>
          <w:lang w:val="en"/>
        </w:rPr>
        <w:t xml:space="preserve"> At present only eight state court systems have announced plans to reopen.</w:t>
      </w:r>
      <w:r w:rsidR="00F2049D" w:rsidRPr="00CE2CA6">
        <w:rPr>
          <w:rStyle w:val="FootnoteReference"/>
          <w:rFonts w:ascii="Arial" w:hAnsi="Arial" w:cs="Arial"/>
          <w:lang w:val="en"/>
        </w:rPr>
        <w:footnoteReference w:id="3"/>
      </w:r>
      <w:r w:rsidR="00F2049D" w:rsidRPr="00CE2CA6">
        <w:rPr>
          <w:rFonts w:ascii="Arial" w:hAnsi="Arial" w:cs="Arial"/>
          <w:lang w:val="en"/>
        </w:rPr>
        <w:t xml:space="preserve">  </w:t>
      </w:r>
    </w:p>
    <w:p w14:paraId="74A71569" w14:textId="3B6E6B63" w:rsidR="00A86A01" w:rsidRPr="00CE2CA6" w:rsidRDefault="00560480" w:rsidP="00DC1900">
      <w:pPr>
        <w:spacing w:after="240"/>
        <w:rPr>
          <w:rFonts w:ascii="Arial" w:hAnsi="Arial" w:cs="Arial"/>
          <w:bCs/>
          <w:lang w:val="en"/>
        </w:rPr>
      </w:pPr>
      <w:r w:rsidRPr="00CE2CA6">
        <w:rPr>
          <w:rFonts w:ascii="Arial" w:hAnsi="Arial" w:cs="Arial"/>
          <w:bCs/>
          <w:lang w:val="en"/>
        </w:rPr>
        <w:t>Many</w:t>
      </w:r>
      <w:r w:rsidR="00EF6B81" w:rsidRPr="00CE2CA6">
        <w:rPr>
          <w:rFonts w:ascii="Arial" w:hAnsi="Arial" w:cs="Arial"/>
          <w:bCs/>
          <w:lang w:val="en"/>
        </w:rPr>
        <w:t xml:space="preserve"> of the</w:t>
      </w:r>
      <w:r w:rsidR="00A86A01" w:rsidRPr="00CE2CA6">
        <w:rPr>
          <w:rFonts w:ascii="Arial" w:hAnsi="Arial" w:cs="Arial"/>
          <w:bCs/>
          <w:lang w:val="en"/>
        </w:rPr>
        <w:t xml:space="preserve"> virtual or remote court procedures </w:t>
      </w:r>
      <w:r w:rsidRPr="00CE2CA6">
        <w:rPr>
          <w:rFonts w:ascii="Arial" w:hAnsi="Arial" w:cs="Arial"/>
          <w:bCs/>
          <w:lang w:val="en"/>
        </w:rPr>
        <w:t xml:space="preserve">currently in use </w:t>
      </w:r>
      <w:r w:rsidR="00A86A01" w:rsidRPr="00CE2CA6">
        <w:rPr>
          <w:rFonts w:ascii="Arial" w:hAnsi="Arial" w:cs="Arial"/>
          <w:bCs/>
          <w:lang w:val="en"/>
        </w:rPr>
        <w:t>were established quickly</w:t>
      </w:r>
      <w:r w:rsidR="00EF6B81" w:rsidRPr="00CE2CA6">
        <w:rPr>
          <w:rFonts w:ascii="Arial" w:hAnsi="Arial" w:cs="Arial"/>
          <w:bCs/>
          <w:lang w:val="en"/>
        </w:rPr>
        <w:t xml:space="preserve">. </w:t>
      </w:r>
      <w:r w:rsidR="007C14DD" w:rsidRPr="00CE2CA6">
        <w:rPr>
          <w:rFonts w:ascii="Arial" w:hAnsi="Arial" w:cs="Arial"/>
          <w:bCs/>
          <w:lang w:val="en"/>
        </w:rPr>
        <w:t xml:space="preserve">As they are </w:t>
      </w:r>
      <w:r w:rsidR="00EE2981">
        <w:rPr>
          <w:rFonts w:ascii="Arial" w:hAnsi="Arial" w:cs="Arial"/>
          <w:bCs/>
          <w:lang w:val="en"/>
        </w:rPr>
        <w:t xml:space="preserve">being </w:t>
      </w:r>
      <w:r w:rsidR="007C14DD" w:rsidRPr="00CE2CA6">
        <w:rPr>
          <w:rFonts w:ascii="Arial" w:hAnsi="Arial" w:cs="Arial"/>
          <w:bCs/>
          <w:lang w:val="en"/>
        </w:rPr>
        <w:t xml:space="preserve">implemented, </w:t>
      </w:r>
      <w:r w:rsidR="005733D7" w:rsidRPr="00CE2CA6">
        <w:rPr>
          <w:rFonts w:ascii="Arial" w:hAnsi="Arial" w:cs="Arial"/>
          <w:bCs/>
          <w:lang w:val="en"/>
        </w:rPr>
        <w:t>n</w:t>
      </w:r>
      <w:r w:rsidR="00A579C4" w:rsidRPr="00CE2CA6">
        <w:rPr>
          <w:rFonts w:ascii="Arial" w:hAnsi="Arial" w:cs="Arial"/>
          <w:bCs/>
          <w:lang w:val="en"/>
        </w:rPr>
        <w:t>umerous questions have arisen over how to conduct virtual or remote court fairly, including</w:t>
      </w:r>
      <w:r w:rsidR="002D090B" w:rsidRPr="00CE2CA6">
        <w:rPr>
          <w:rFonts w:ascii="Arial" w:hAnsi="Arial" w:cs="Arial"/>
          <w:bCs/>
          <w:lang w:val="en"/>
        </w:rPr>
        <w:t xml:space="preserve">: </w:t>
      </w:r>
    </w:p>
    <w:p w14:paraId="533D0A47" w14:textId="24F990A5" w:rsidR="00A579C4" w:rsidRPr="00CE2CA6" w:rsidRDefault="00A579C4" w:rsidP="00A579C4">
      <w:pPr>
        <w:pStyle w:val="ListParagraph"/>
        <w:numPr>
          <w:ilvl w:val="0"/>
          <w:numId w:val="5"/>
        </w:numPr>
        <w:spacing w:after="240"/>
        <w:rPr>
          <w:rFonts w:ascii="Arial" w:hAnsi="Arial" w:cs="Arial"/>
          <w:bCs/>
          <w:lang w:val="en"/>
        </w:rPr>
      </w:pPr>
      <w:r w:rsidRPr="00CE2CA6">
        <w:rPr>
          <w:rFonts w:ascii="Arial" w:hAnsi="Arial" w:cs="Arial"/>
          <w:bCs/>
          <w:lang w:val="en"/>
        </w:rPr>
        <w:t xml:space="preserve">How </w:t>
      </w:r>
      <w:r w:rsidR="002658B1" w:rsidRPr="00CE2CA6">
        <w:rPr>
          <w:rFonts w:ascii="Arial" w:hAnsi="Arial" w:cs="Arial"/>
          <w:bCs/>
          <w:lang w:val="en"/>
        </w:rPr>
        <w:t>to</w:t>
      </w:r>
      <w:r w:rsidRPr="00CE2CA6">
        <w:rPr>
          <w:rFonts w:ascii="Arial" w:hAnsi="Arial" w:cs="Arial"/>
          <w:bCs/>
          <w:lang w:val="en"/>
        </w:rPr>
        <w:t xml:space="preserve"> create procedure</w:t>
      </w:r>
      <w:r w:rsidR="005733D7" w:rsidRPr="00CE2CA6">
        <w:rPr>
          <w:rFonts w:ascii="Arial" w:hAnsi="Arial" w:cs="Arial"/>
          <w:bCs/>
          <w:lang w:val="en"/>
        </w:rPr>
        <w:t>s</w:t>
      </w:r>
      <w:r w:rsidRPr="00CE2CA6">
        <w:rPr>
          <w:rFonts w:ascii="Arial" w:hAnsi="Arial" w:cs="Arial"/>
          <w:bCs/>
          <w:lang w:val="en"/>
        </w:rPr>
        <w:t xml:space="preserve"> that ensure equal access for all participants?</w:t>
      </w:r>
    </w:p>
    <w:p w14:paraId="7E9E510A" w14:textId="09F3C8DA" w:rsidR="00A579C4" w:rsidRPr="00CE2CA6" w:rsidRDefault="00A579C4" w:rsidP="00A579C4">
      <w:pPr>
        <w:pStyle w:val="ListParagraph"/>
        <w:numPr>
          <w:ilvl w:val="0"/>
          <w:numId w:val="5"/>
        </w:numPr>
        <w:spacing w:after="240"/>
        <w:rPr>
          <w:rFonts w:ascii="Arial" w:hAnsi="Arial" w:cs="Arial"/>
          <w:bCs/>
          <w:lang w:val="en"/>
        </w:rPr>
      </w:pPr>
      <w:r w:rsidRPr="00CE2CA6">
        <w:rPr>
          <w:rFonts w:ascii="Arial" w:hAnsi="Arial" w:cs="Arial"/>
          <w:bCs/>
          <w:lang w:val="en"/>
        </w:rPr>
        <w:t xml:space="preserve">How </w:t>
      </w:r>
      <w:r w:rsidR="002658B1" w:rsidRPr="00CE2CA6">
        <w:rPr>
          <w:rFonts w:ascii="Arial" w:hAnsi="Arial" w:cs="Arial"/>
          <w:bCs/>
          <w:lang w:val="en"/>
        </w:rPr>
        <w:t>to</w:t>
      </w:r>
      <w:r w:rsidRPr="00CE2CA6">
        <w:rPr>
          <w:rFonts w:ascii="Arial" w:hAnsi="Arial" w:cs="Arial"/>
          <w:bCs/>
          <w:lang w:val="en"/>
        </w:rPr>
        <w:t xml:space="preserve"> ensure that the circumstances of participation</w:t>
      </w:r>
      <w:r w:rsidR="008B6945" w:rsidRPr="00CE2CA6">
        <w:rPr>
          <w:rFonts w:ascii="Arial" w:hAnsi="Arial" w:cs="Arial"/>
          <w:bCs/>
          <w:lang w:val="en"/>
        </w:rPr>
        <w:t xml:space="preserve"> (video vs. telephone, background, </w:t>
      </w:r>
      <w:r w:rsidR="000132B6">
        <w:rPr>
          <w:rFonts w:ascii="Arial" w:hAnsi="Arial" w:cs="Arial"/>
          <w:bCs/>
          <w:lang w:val="en"/>
        </w:rPr>
        <w:t xml:space="preserve">and </w:t>
      </w:r>
      <w:r w:rsidR="008B6945" w:rsidRPr="00CE2CA6">
        <w:rPr>
          <w:rFonts w:ascii="Arial" w:hAnsi="Arial" w:cs="Arial"/>
          <w:bCs/>
          <w:lang w:val="en"/>
        </w:rPr>
        <w:t>lighting)</w:t>
      </w:r>
      <w:r w:rsidRPr="00CE2CA6">
        <w:rPr>
          <w:rFonts w:ascii="Arial" w:hAnsi="Arial" w:cs="Arial"/>
          <w:bCs/>
          <w:lang w:val="en"/>
        </w:rPr>
        <w:t xml:space="preserve"> do not unfairly prejudice the proceeding in favor of or against a participant?</w:t>
      </w:r>
    </w:p>
    <w:p w14:paraId="1152CEEE" w14:textId="1BFCEA87" w:rsidR="00340DF1" w:rsidRPr="00CE2CA6" w:rsidRDefault="00997C1C" w:rsidP="00997C1C">
      <w:pPr>
        <w:pStyle w:val="ListParagraph"/>
        <w:numPr>
          <w:ilvl w:val="0"/>
          <w:numId w:val="5"/>
        </w:numPr>
        <w:spacing w:after="240"/>
        <w:rPr>
          <w:rFonts w:ascii="Arial" w:hAnsi="Arial" w:cs="Arial"/>
          <w:bCs/>
          <w:lang w:val="en"/>
        </w:rPr>
      </w:pPr>
      <w:r w:rsidRPr="00CE2CA6">
        <w:rPr>
          <w:rFonts w:ascii="Arial" w:hAnsi="Arial" w:cs="Arial"/>
          <w:bCs/>
          <w:lang w:val="en"/>
        </w:rPr>
        <w:t xml:space="preserve">How </w:t>
      </w:r>
      <w:r w:rsidR="002658B1" w:rsidRPr="00CE2CA6">
        <w:rPr>
          <w:rFonts w:ascii="Arial" w:hAnsi="Arial" w:cs="Arial"/>
          <w:bCs/>
          <w:lang w:val="en"/>
        </w:rPr>
        <w:t>to</w:t>
      </w:r>
      <w:r w:rsidRPr="00CE2CA6">
        <w:rPr>
          <w:rFonts w:ascii="Arial" w:hAnsi="Arial" w:cs="Arial"/>
          <w:bCs/>
          <w:lang w:val="en"/>
        </w:rPr>
        <w:t xml:space="preserve"> share documents in real time with proceeding participants and ensure, for example, the timely and effective transmission of court orders and notices?</w:t>
      </w:r>
    </w:p>
    <w:p w14:paraId="73D4544C" w14:textId="5F905CAD" w:rsidR="005733D7" w:rsidRPr="00CE2CA6" w:rsidRDefault="005733D7" w:rsidP="005733D7">
      <w:pPr>
        <w:pStyle w:val="ListParagraph"/>
        <w:numPr>
          <w:ilvl w:val="0"/>
          <w:numId w:val="5"/>
        </w:numPr>
        <w:spacing w:after="240"/>
        <w:rPr>
          <w:rFonts w:ascii="Arial" w:hAnsi="Arial" w:cs="Arial"/>
          <w:bCs/>
          <w:lang w:val="en"/>
        </w:rPr>
      </w:pPr>
      <w:r w:rsidRPr="00CE2CA6">
        <w:rPr>
          <w:rFonts w:ascii="Arial" w:hAnsi="Arial" w:cs="Arial"/>
          <w:bCs/>
          <w:lang w:val="en"/>
        </w:rPr>
        <w:t xml:space="preserve">How </w:t>
      </w:r>
      <w:r w:rsidR="00451AC4">
        <w:rPr>
          <w:rFonts w:ascii="Arial" w:hAnsi="Arial" w:cs="Arial"/>
          <w:bCs/>
          <w:lang w:val="en"/>
        </w:rPr>
        <w:t>to</w:t>
      </w:r>
      <w:r w:rsidRPr="00CE2CA6">
        <w:rPr>
          <w:rFonts w:ascii="Arial" w:hAnsi="Arial" w:cs="Arial"/>
          <w:bCs/>
          <w:lang w:val="en"/>
        </w:rPr>
        <w:t xml:space="preserve"> ensure that attorneys have a full and contemporaneous opportunity to consult privately with clients during proceedings?</w:t>
      </w:r>
    </w:p>
    <w:p w14:paraId="396FE804" w14:textId="7E9F4E67" w:rsidR="002D090B" w:rsidRPr="00CE2CA6" w:rsidRDefault="002D090B" w:rsidP="002D090B">
      <w:pPr>
        <w:pStyle w:val="ListParagraph"/>
        <w:numPr>
          <w:ilvl w:val="0"/>
          <w:numId w:val="5"/>
        </w:numPr>
        <w:spacing w:after="240"/>
        <w:rPr>
          <w:rFonts w:ascii="Arial" w:hAnsi="Arial" w:cs="Arial"/>
          <w:bCs/>
          <w:lang w:val="en"/>
        </w:rPr>
      </w:pPr>
      <w:r w:rsidRPr="00CE2CA6">
        <w:rPr>
          <w:rFonts w:ascii="Arial" w:hAnsi="Arial" w:cs="Arial"/>
          <w:bCs/>
          <w:lang w:val="en"/>
        </w:rPr>
        <w:t xml:space="preserve">How </w:t>
      </w:r>
      <w:r w:rsidR="00A35C66">
        <w:rPr>
          <w:rFonts w:ascii="Arial" w:hAnsi="Arial" w:cs="Arial"/>
          <w:bCs/>
          <w:lang w:val="en"/>
        </w:rPr>
        <w:t>to</w:t>
      </w:r>
      <w:r w:rsidRPr="00CE2CA6">
        <w:rPr>
          <w:rFonts w:ascii="Arial" w:hAnsi="Arial" w:cs="Arial"/>
          <w:bCs/>
          <w:lang w:val="en"/>
        </w:rPr>
        <w:t xml:space="preserve"> provide open access to courts </w:t>
      </w:r>
      <w:r w:rsidR="00A04D33" w:rsidRPr="00CE2CA6">
        <w:rPr>
          <w:rFonts w:ascii="Arial" w:hAnsi="Arial" w:cs="Arial"/>
          <w:bCs/>
          <w:lang w:val="en"/>
        </w:rPr>
        <w:t>held virtually/remotely</w:t>
      </w:r>
      <w:r w:rsidR="00A505D0" w:rsidRPr="00CE2CA6">
        <w:rPr>
          <w:rFonts w:ascii="Arial" w:hAnsi="Arial" w:cs="Arial"/>
          <w:bCs/>
          <w:lang w:val="en"/>
        </w:rPr>
        <w:t>?</w:t>
      </w:r>
      <w:r w:rsidR="00A04D33" w:rsidRPr="00CE2CA6">
        <w:rPr>
          <w:rFonts w:ascii="Arial" w:hAnsi="Arial" w:cs="Arial"/>
          <w:bCs/>
          <w:lang w:val="en"/>
        </w:rPr>
        <w:t xml:space="preserve"> Once available, should such proceedings be subject to recording and available </w:t>
      </w:r>
      <w:r w:rsidR="00733A3E" w:rsidRPr="00CE2CA6">
        <w:rPr>
          <w:rFonts w:ascii="Arial" w:hAnsi="Arial" w:cs="Arial"/>
          <w:bCs/>
          <w:lang w:val="en"/>
        </w:rPr>
        <w:t xml:space="preserve">after the live event? </w:t>
      </w:r>
      <w:r w:rsidR="000132B6">
        <w:rPr>
          <w:rFonts w:ascii="Arial" w:hAnsi="Arial" w:cs="Arial"/>
          <w:bCs/>
          <w:lang w:val="en"/>
        </w:rPr>
        <w:t>If so, f</w:t>
      </w:r>
      <w:r w:rsidR="00733A3E" w:rsidRPr="00CE2CA6">
        <w:rPr>
          <w:rFonts w:ascii="Arial" w:hAnsi="Arial" w:cs="Arial"/>
          <w:bCs/>
          <w:lang w:val="en"/>
        </w:rPr>
        <w:t>or how long?</w:t>
      </w:r>
    </w:p>
    <w:p w14:paraId="29115064" w14:textId="5D6458B5" w:rsidR="00C9674A" w:rsidRPr="00CE2CA6" w:rsidRDefault="00783ED1" w:rsidP="00F46F78">
      <w:pPr>
        <w:spacing w:after="240"/>
        <w:jc w:val="both"/>
        <w:rPr>
          <w:rFonts w:ascii="Arial" w:hAnsi="Arial" w:cs="Arial"/>
          <w:bCs/>
          <w:lang w:val="en"/>
        </w:rPr>
      </w:pPr>
      <w:r w:rsidRPr="00CE2CA6">
        <w:rPr>
          <w:rFonts w:ascii="Arial" w:hAnsi="Arial" w:cs="Arial"/>
          <w:bCs/>
          <w:lang w:val="en"/>
        </w:rPr>
        <w:t xml:space="preserve">It has become increasingly </w:t>
      </w:r>
      <w:r w:rsidR="00845F32" w:rsidRPr="00CE2CA6">
        <w:rPr>
          <w:rFonts w:ascii="Arial" w:hAnsi="Arial" w:cs="Arial"/>
          <w:bCs/>
          <w:lang w:val="en"/>
        </w:rPr>
        <w:t>likely</w:t>
      </w:r>
      <w:r w:rsidR="00010E66" w:rsidRPr="00CE2CA6">
        <w:rPr>
          <w:rFonts w:ascii="Arial" w:hAnsi="Arial" w:cs="Arial"/>
          <w:bCs/>
          <w:lang w:val="en"/>
        </w:rPr>
        <w:t xml:space="preserve"> that these procedures </w:t>
      </w:r>
      <w:r w:rsidR="00845F32" w:rsidRPr="00CE2CA6">
        <w:rPr>
          <w:rFonts w:ascii="Arial" w:hAnsi="Arial" w:cs="Arial"/>
          <w:bCs/>
          <w:lang w:val="en"/>
        </w:rPr>
        <w:t>will</w:t>
      </w:r>
      <w:r w:rsidR="00010E66" w:rsidRPr="00CE2CA6">
        <w:rPr>
          <w:rFonts w:ascii="Arial" w:hAnsi="Arial" w:cs="Arial"/>
          <w:bCs/>
          <w:lang w:val="en"/>
        </w:rPr>
        <w:t xml:space="preserve"> be in use, at least in part,</w:t>
      </w:r>
      <w:r w:rsidR="000D373C" w:rsidRPr="00CE2CA6">
        <w:rPr>
          <w:rStyle w:val="FootnoteReference"/>
          <w:rFonts w:ascii="Arial" w:hAnsi="Arial" w:cs="Arial"/>
          <w:bCs/>
          <w:lang w:val="en"/>
        </w:rPr>
        <w:footnoteReference w:id="4"/>
      </w:r>
      <w:r w:rsidR="00010E66" w:rsidRPr="00CE2CA6">
        <w:rPr>
          <w:rFonts w:ascii="Arial" w:hAnsi="Arial" w:cs="Arial"/>
          <w:bCs/>
          <w:lang w:val="en"/>
        </w:rPr>
        <w:t xml:space="preserve"> for some time to come</w:t>
      </w:r>
      <w:r w:rsidR="00845F32" w:rsidRPr="00CE2CA6">
        <w:rPr>
          <w:rFonts w:ascii="Arial" w:hAnsi="Arial" w:cs="Arial"/>
          <w:bCs/>
          <w:lang w:val="en"/>
        </w:rPr>
        <w:t>.</w:t>
      </w:r>
      <w:r w:rsidR="00C53F04" w:rsidRPr="00CE2CA6">
        <w:rPr>
          <w:rFonts w:ascii="Arial" w:hAnsi="Arial" w:cs="Arial"/>
          <w:bCs/>
          <w:lang w:val="en"/>
        </w:rPr>
        <w:t xml:space="preserve"> </w:t>
      </w:r>
      <w:r w:rsidR="00997C1C" w:rsidRPr="00CE2CA6">
        <w:rPr>
          <w:rFonts w:ascii="Arial" w:hAnsi="Arial" w:cs="Arial"/>
          <w:bCs/>
          <w:lang w:val="en"/>
        </w:rPr>
        <w:t xml:space="preserve">As courts seek to implement or expand the use </w:t>
      </w:r>
      <w:r w:rsidR="00716F79">
        <w:rPr>
          <w:rFonts w:ascii="Arial" w:hAnsi="Arial" w:cs="Arial"/>
          <w:bCs/>
          <w:lang w:val="en"/>
        </w:rPr>
        <w:t xml:space="preserve">of </w:t>
      </w:r>
      <w:r w:rsidR="00997C1C" w:rsidRPr="00CE2CA6">
        <w:rPr>
          <w:rFonts w:ascii="Arial" w:hAnsi="Arial" w:cs="Arial"/>
          <w:bCs/>
          <w:lang w:val="en"/>
        </w:rPr>
        <w:t xml:space="preserve">emergency procedures for virtual or remote court, it is important not to lose sight of the important questions raised by these procedures. </w:t>
      </w:r>
      <w:r w:rsidR="004D42A8" w:rsidRPr="00CE2CA6">
        <w:rPr>
          <w:rFonts w:ascii="Arial" w:hAnsi="Arial" w:cs="Arial"/>
          <w:bCs/>
          <w:lang w:val="en"/>
        </w:rPr>
        <w:t xml:space="preserve">This Resolution seeks to </w:t>
      </w:r>
      <w:r w:rsidR="00980FCA" w:rsidRPr="00CE2CA6">
        <w:rPr>
          <w:rFonts w:ascii="Arial" w:hAnsi="Arial" w:cs="Arial"/>
          <w:bCs/>
          <w:lang w:val="en"/>
        </w:rPr>
        <w:t xml:space="preserve">encourage each jurisdiction employing </w:t>
      </w:r>
      <w:r w:rsidR="006E2454" w:rsidRPr="00CE2CA6">
        <w:rPr>
          <w:rFonts w:ascii="Arial" w:hAnsi="Arial" w:cs="Arial"/>
          <w:bCs/>
          <w:lang w:val="en"/>
        </w:rPr>
        <w:t>virtual or remote court</w:t>
      </w:r>
      <w:r w:rsidR="006D2A71">
        <w:rPr>
          <w:rFonts w:ascii="Arial" w:hAnsi="Arial" w:cs="Arial"/>
          <w:bCs/>
          <w:lang w:val="en"/>
        </w:rPr>
        <w:t>: (1)</w:t>
      </w:r>
      <w:r w:rsidR="006E2454" w:rsidRPr="00CE2CA6">
        <w:rPr>
          <w:rFonts w:ascii="Arial" w:hAnsi="Arial" w:cs="Arial"/>
          <w:bCs/>
          <w:lang w:val="en"/>
        </w:rPr>
        <w:t xml:space="preserve"> to</w:t>
      </w:r>
      <w:r w:rsidR="00312456" w:rsidRPr="00CE2CA6">
        <w:rPr>
          <w:rFonts w:ascii="Arial" w:hAnsi="Arial" w:cs="Arial"/>
          <w:bCs/>
          <w:lang w:val="en"/>
        </w:rPr>
        <w:t xml:space="preserve"> </w:t>
      </w:r>
      <w:r w:rsidR="005F486E" w:rsidRPr="00CE2CA6">
        <w:rPr>
          <w:rFonts w:ascii="Arial" w:hAnsi="Arial" w:cs="Arial"/>
          <w:bCs/>
          <w:lang w:val="en"/>
        </w:rPr>
        <w:t>establish committees</w:t>
      </w:r>
      <w:r w:rsidR="004D42A8" w:rsidRPr="00CE2CA6">
        <w:rPr>
          <w:rFonts w:ascii="Arial" w:hAnsi="Arial" w:cs="Arial"/>
          <w:bCs/>
          <w:lang w:val="en"/>
        </w:rPr>
        <w:t xml:space="preserve"> </w:t>
      </w:r>
      <w:r w:rsidR="00D2606A" w:rsidRPr="00CE2CA6">
        <w:rPr>
          <w:rFonts w:ascii="Arial" w:hAnsi="Arial" w:cs="Arial"/>
          <w:bCs/>
          <w:lang w:val="en"/>
        </w:rPr>
        <w:t xml:space="preserve">to </w:t>
      </w:r>
      <w:r w:rsidR="00DC6172" w:rsidRPr="00CE2CA6">
        <w:rPr>
          <w:rFonts w:ascii="Arial" w:hAnsi="Arial" w:cs="Arial"/>
          <w:bCs/>
          <w:lang w:val="en"/>
        </w:rPr>
        <w:t>review</w:t>
      </w:r>
      <w:r w:rsidR="004D42A8" w:rsidRPr="00CE2CA6">
        <w:rPr>
          <w:rFonts w:ascii="Arial" w:hAnsi="Arial" w:cs="Arial"/>
          <w:bCs/>
          <w:lang w:val="en"/>
        </w:rPr>
        <w:t xml:space="preserve"> procedures</w:t>
      </w:r>
      <w:r w:rsidR="006D2A71">
        <w:rPr>
          <w:rFonts w:ascii="Arial" w:hAnsi="Arial" w:cs="Arial"/>
          <w:bCs/>
          <w:lang w:val="en"/>
        </w:rPr>
        <w:t>; (2)</w:t>
      </w:r>
      <w:r w:rsidR="004D42A8" w:rsidRPr="00CE2CA6">
        <w:rPr>
          <w:rFonts w:ascii="Arial" w:hAnsi="Arial" w:cs="Arial"/>
          <w:bCs/>
          <w:lang w:val="en"/>
        </w:rPr>
        <w:t xml:space="preserve"> to</w:t>
      </w:r>
      <w:r w:rsidR="00D2606A" w:rsidRPr="00CE2CA6">
        <w:rPr>
          <w:rFonts w:ascii="Arial" w:hAnsi="Arial" w:cs="Arial"/>
          <w:bCs/>
          <w:lang w:val="en"/>
        </w:rPr>
        <w:t xml:space="preserve"> take steps</w:t>
      </w:r>
      <w:r w:rsidR="004D42A8" w:rsidRPr="00CE2CA6">
        <w:rPr>
          <w:rFonts w:ascii="Arial" w:hAnsi="Arial" w:cs="Arial"/>
          <w:bCs/>
          <w:lang w:val="en"/>
        </w:rPr>
        <w:t xml:space="preserve"> ensure </w:t>
      </w:r>
      <w:r w:rsidR="006E2454" w:rsidRPr="00CE2CA6">
        <w:rPr>
          <w:rFonts w:ascii="Arial" w:hAnsi="Arial" w:cs="Arial"/>
          <w:bCs/>
          <w:lang w:val="en"/>
        </w:rPr>
        <w:t>equal access and fundamental fairness</w:t>
      </w:r>
      <w:r w:rsidR="006D2A71">
        <w:rPr>
          <w:rFonts w:ascii="Arial" w:hAnsi="Arial" w:cs="Arial"/>
          <w:bCs/>
          <w:lang w:val="en"/>
        </w:rPr>
        <w:t>;</w:t>
      </w:r>
      <w:r w:rsidR="006E2454" w:rsidRPr="00CE2CA6">
        <w:rPr>
          <w:rFonts w:ascii="Arial" w:hAnsi="Arial" w:cs="Arial"/>
          <w:bCs/>
          <w:lang w:val="en"/>
        </w:rPr>
        <w:t xml:space="preserve"> and</w:t>
      </w:r>
      <w:r w:rsidR="006D2A71">
        <w:rPr>
          <w:rFonts w:ascii="Arial" w:hAnsi="Arial" w:cs="Arial"/>
          <w:bCs/>
          <w:lang w:val="en"/>
        </w:rPr>
        <w:t xml:space="preserve"> (3)</w:t>
      </w:r>
      <w:r w:rsidR="006E2454" w:rsidRPr="00CE2CA6">
        <w:rPr>
          <w:rFonts w:ascii="Arial" w:hAnsi="Arial" w:cs="Arial"/>
          <w:bCs/>
          <w:lang w:val="en"/>
        </w:rPr>
        <w:t xml:space="preserve"> </w:t>
      </w:r>
      <w:r w:rsidR="00D2606A" w:rsidRPr="00CE2CA6">
        <w:rPr>
          <w:rFonts w:ascii="Arial" w:hAnsi="Arial" w:cs="Arial"/>
          <w:bCs/>
          <w:lang w:val="en"/>
        </w:rPr>
        <w:t xml:space="preserve">to </w:t>
      </w:r>
      <w:r w:rsidR="006E2454" w:rsidRPr="00CE2CA6">
        <w:rPr>
          <w:rFonts w:ascii="Arial" w:hAnsi="Arial" w:cs="Arial"/>
          <w:bCs/>
          <w:lang w:val="en"/>
        </w:rPr>
        <w:t>study the impact of these procedures</w:t>
      </w:r>
      <w:r w:rsidR="00676D73" w:rsidRPr="00CE2CA6">
        <w:rPr>
          <w:rFonts w:ascii="Arial" w:hAnsi="Arial" w:cs="Arial"/>
          <w:bCs/>
          <w:lang w:val="en"/>
        </w:rPr>
        <w:t xml:space="preserve"> </w:t>
      </w:r>
      <w:r w:rsidR="00D90AFB">
        <w:rPr>
          <w:rFonts w:ascii="Arial" w:hAnsi="Arial" w:cs="Arial"/>
          <w:bCs/>
          <w:lang w:val="en"/>
        </w:rPr>
        <w:t>for possible</w:t>
      </w:r>
      <w:r w:rsidR="00676D73" w:rsidRPr="00CE2CA6">
        <w:rPr>
          <w:rFonts w:ascii="Arial" w:hAnsi="Arial" w:cs="Arial"/>
        </w:rPr>
        <w:t xml:space="preserve"> prejudicial effect or disparate impact on outcomes</w:t>
      </w:r>
      <w:r w:rsidR="00BC7228" w:rsidRPr="00CE2CA6">
        <w:rPr>
          <w:rFonts w:ascii="Arial" w:hAnsi="Arial" w:cs="Arial"/>
        </w:rPr>
        <w:t>.</w:t>
      </w:r>
      <w:r w:rsidR="006E2454" w:rsidRPr="00CE2CA6">
        <w:rPr>
          <w:rFonts w:ascii="Arial" w:hAnsi="Arial" w:cs="Arial"/>
          <w:bCs/>
          <w:lang w:val="en"/>
        </w:rPr>
        <w:t xml:space="preserve">  </w:t>
      </w:r>
    </w:p>
    <w:p w14:paraId="4D9155FF" w14:textId="11B3388F" w:rsidR="00FA1823" w:rsidRPr="00CE2CA6" w:rsidRDefault="00FF3326" w:rsidP="00F46F78">
      <w:pPr>
        <w:spacing w:after="240"/>
        <w:jc w:val="both"/>
        <w:rPr>
          <w:rFonts w:ascii="Arial" w:hAnsi="Arial" w:cs="Arial"/>
          <w:b/>
          <w:lang w:val="en"/>
        </w:rPr>
      </w:pPr>
      <w:r w:rsidRPr="00CE2CA6">
        <w:rPr>
          <w:rFonts w:ascii="Arial" w:hAnsi="Arial" w:cs="Arial"/>
          <w:b/>
          <w:lang w:val="en"/>
        </w:rPr>
        <w:t xml:space="preserve">Virtual and Remote </w:t>
      </w:r>
      <w:r w:rsidR="00FA1823" w:rsidRPr="00CE2CA6">
        <w:rPr>
          <w:rFonts w:ascii="Arial" w:hAnsi="Arial" w:cs="Arial"/>
          <w:b/>
          <w:lang w:val="en"/>
        </w:rPr>
        <w:t>Court Procedures</w:t>
      </w:r>
    </w:p>
    <w:p w14:paraId="694F3FBC" w14:textId="77777777" w:rsidR="00CC6793" w:rsidRPr="00CE2CA6" w:rsidRDefault="00265469" w:rsidP="00CC6793">
      <w:pPr>
        <w:spacing w:after="240"/>
        <w:ind w:left="1440" w:right="1440"/>
        <w:jc w:val="both"/>
        <w:rPr>
          <w:rFonts w:ascii="Arial" w:hAnsi="Arial" w:cs="Arial"/>
        </w:rPr>
      </w:pPr>
      <w:r w:rsidRPr="00CE2CA6">
        <w:rPr>
          <w:rFonts w:ascii="Arial" w:hAnsi="Arial" w:cs="Arial"/>
        </w:rPr>
        <w:t>Our objective, in the short term, is to carefully expand virtual access, keeping in mind the special challenges faced by the self-represented and those lacking the technology to participate in a virtual forum. In the long term, of course, we want to return to normal operations whenever that becomes possible and appropriate.</w:t>
      </w:r>
    </w:p>
    <w:p w14:paraId="094A4193" w14:textId="4D7ECA06" w:rsidR="00BF0E9F" w:rsidRPr="00CE2CA6" w:rsidRDefault="00AB20F0" w:rsidP="00CC6793">
      <w:pPr>
        <w:pStyle w:val="ListParagraph"/>
        <w:numPr>
          <w:ilvl w:val="0"/>
          <w:numId w:val="5"/>
        </w:numPr>
        <w:spacing w:after="240"/>
        <w:ind w:left="2376"/>
        <w:jc w:val="both"/>
        <w:rPr>
          <w:rFonts w:ascii="Arial" w:hAnsi="Arial" w:cs="Arial"/>
          <w:bCs/>
          <w:lang w:val="en"/>
        </w:rPr>
      </w:pPr>
      <w:r w:rsidRPr="00CE2CA6">
        <w:rPr>
          <w:rFonts w:ascii="Arial" w:hAnsi="Arial" w:cs="Arial"/>
          <w:bCs/>
          <w:lang w:val="en"/>
        </w:rPr>
        <w:t>New York</w:t>
      </w:r>
      <w:r w:rsidR="00CC6793" w:rsidRPr="00CE2CA6">
        <w:rPr>
          <w:rFonts w:ascii="Arial" w:hAnsi="Arial" w:cs="Arial"/>
          <w:bCs/>
          <w:lang w:val="en"/>
        </w:rPr>
        <w:t xml:space="preserve"> </w:t>
      </w:r>
      <w:r w:rsidRPr="00CE2CA6">
        <w:rPr>
          <w:rFonts w:ascii="Arial" w:hAnsi="Arial" w:cs="Arial"/>
          <w:bCs/>
          <w:lang w:val="en"/>
        </w:rPr>
        <w:t>Chief Justice Janet DiFiore</w:t>
      </w:r>
      <w:r w:rsidR="00DA12BB" w:rsidRPr="00CE2CA6">
        <w:rPr>
          <w:rStyle w:val="FootnoteReference"/>
          <w:rFonts w:ascii="Arial" w:hAnsi="Arial" w:cs="Arial"/>
          <w:bCs/>
          <w:lang w:val="en"/>
        </w:rPr>
        <w:footnoteReference w:id="5"/>
      </w:r>
    </w:p>
    <w:p w14:paraId="2C1E5022" w14:textId="21957394" w:rsidR="00D66C91" w:rsidRPr="00CE2CA6" w:rsidRDefault="009A014E" w:rsidP="0006498E">
      <w:pPr>
        <w:rPr>
          <w:rFonts w:ascii="Arial" w:hAnsi="Arial" w:cs="Arial"/>
          <w:i/>
          <w:iCs/>
        </w:rPr>
      </w:pPr>
      <w:r w:rsidRPr="00CE2CA6">
        <w:rPr>
          <w:rFonts w:ascii="Arial" w:hAnsi="Arial" w:cs="Arial"/>
          <w:i/>
          <w:iCs/>
        </w:rPr>
        <w:t>Access to Courts</w:t>
      </w:r>
    </w:p>
    <w:p w14:paraId="0E621327" w14:textId="77777777" w:rsidR="009A014E" w:rsidRPr="00CE2CA6" w:rsidRDefault="009A014E" w:rsidP="0006498E">
      <w:pPr>
        <w:rPr>
          <w:rFonts w:ascii="Arial" w:hAnsi="Arial" w:cs="Arial"/>
          <w:i/>
          <w:iCs/>
        </w:rPr>
      </w:pPr>
    </w:p>
    <w:p w14:paraId="4C9CD461" w14:textId="02651E25" w:rsidR="006A004E" w:rsidRPr="00CE2CA6" w:rsidRDefault="0006498E" w:rsidP="0006498E">
      <w:pPr>
        <w:rPr>
          <w:rFonts w:ascii="Arial" w:hAnsi="Arial" w:cs="Arial"/>
        </w:rPr>
      </w:pPr>
      <w:r w:rsidRPr="00CE2CA6">
        <w:rPr>
          <w:rFonts w:ascii="Arial" w:hAnsi="Arial" w:cs="Arial"/>
        </w:rPr>
        <w:t xml:space="preserve">Virtual and remote court procedures not only provide a method of safely holding critical hearings during the COVID-19 pandemic, but </w:t>
      </w:r>
      <w:r w:rsidR="002660FF">
        <w:rPr>
          <w:rFonts w:ascii="Arial" w:hAnsi="Arial" w:cs="Arial"/>
        </w:rPr>
        <w:t xml:space="preserve">may </w:t>
      </w:r>
      <w:r w:rsidRPr="00CE2CA6">
        <w:rPr>
          <w:rFonts w:ascii="Arial" w:hAnsi="Arial" w:cs="Arial"/>
        </w:rPr>
        <w:t xml:space="preserve">also </w:t>
      </w:r>
      <w:r w:rsidR="00737BA2" w:rsidRPr="00CE2CA6">
        <w:rPr>
          <w:rFonts w:ascii="Arial" w:hAnsi="Arial" w:cs="Arial"/>
        </w:rPr>
        <w:t xml:space="preserve">serve as </w:t>
      </w:r>
      <w:r w:rsidR="002660FF">
        <w:rPr>
          <w:rFonts w:ascii="Arial" w:hAnsi="Arial" w:cs="Arial"/>
        </w:rPr>
        <w:t>a</w:t>
      </w:r>
      <w:r w:rsidRPr="00CE2CA6">
        <w:rPr>
          <w:rFonts w:ascii="Arial" w:hAnsi="Arial" w:cs="Arial"/>
        </w:rPr>
        <w:t xml:space="preserve"> way to expand </w:t>
      </w:r>
      <w:r w:rsidR="00737BA2" w:rsidRPr="00CE2CA6">
        <w:rPr>
          <w:rFonts w:ascii="Arial" w:hAnsi="Arial" w:cs="Arial"/>
        </w:rPr>
        <w:t>convenient access to</w:t>
      </w:r>
      <w:r w:rsidRPr="00CE2CA6">
        <w:rPr>
          <w:rFonts w:ascii="Arial" w:hAnsi="Arial" w:cs="Arial"/>
        </w:rPr>
        <w:t xml:space="preserve"> courts</w:t>
      </w:r>
      <w:r w:rsidR="00737BA2" w:rsidRPr="00CE2CA6">
        <w:rPr>
          <w:rFonts w:ascii="Arial" w:hAnsi="Arial" w:cs="Arial"/>
        </w:rPr>
        <w:t xml:space="preserve"> in appropriate instances</w:t>
      </w:r>
      <w:r w:rsidRPr="00CE2CA6">
        <w:rPr>
          <w:rFonts w:ascii="Arial" w:hAnsi="Arial" w:cs="Arial"/>
        </w:rPr>
        <w:t xml:space="preserve">. </w:t>
      </w:r>
      <w:r w:rsidR="00A25E93" w:rsidRPr="00CE2CA6">
        <w:rPr>
          <w:rFonts w:ascii="Arial" w:hAnsi="Arial" w:cs="Arial"/>
        </w:rPr>
        <w:t>Attending court in person is often difficult. It commonly requires individuals to take a full day off work, arrange childcare</w:t>
      </w:r>
      <w:r w:rsidR="00454016" w:rsidRPr="00CE2CA6">
        <w:rPr>
          <w:rFonts w:ascii="Arial" w:hAnsi="Arial" w:cs="Arial"/>
        </w:rPr>
        <w:t xml:space="preserve"> and</w:t>
      </w:r>
      <w:r w:rsidR="00A25E93" w:rsidRPr="00CE2CA6">
        <w:rPr>
          <w:rFonts w:ascii="Arial" w:hAnsi="Arial" w:cs="Arial"/>
        </w:rPr>
        <w:t xml:space="preserve"> </w:t>
      </w:r>
      <w:r w:rsidR="00E75FFE" w:rsidRPr="00CE2CA6">
        <w:rPr>
          <w:rFonts w:ascii="Arial" w:hAnsi="Arial" w:cs="Arial"/>
        </w:rPr>
        <w:t>travel to</w:t>
      </w:r>
      <w:r w:rsidR="00454016" w:rsidRPr="00CE2CA6">
        <w:rPr>
          <w:rFonts w:ascii="Arial" w:hAnsi="Arial" w:cs="Arial"/>
        </w:rPr>
        <w:t xml:space="preserve"> and from</w:t>
      </w:r>
      <w:r w:rsidR="00E75FFE" w:rsidRPr="00CE2CA6">
        <w:rPr>
          <w:rFonts w:ascii="Arial" w:hAnsi="Arial" w:cs="Arial"/>
        </w:rPr>
        <w:t xml:space="preserve"> the courthouse, which may be some distance from their residence</w:t>
      </w:r>
      <w:r w:rsidR="002660FF">
        <w:rPr>
          <w:rFonts w:ascii="Arial" w:hAnsi="Arial" w:cs="Arial"/>
        </w:rPr>
        <w:t>,</w:t>
      </w:r>
      <w:r w:rsidR="00E75FFE" w:rsidRPr="00CE2CA6">
        <w:rPr>
          <w:rFonts w:ascii="Arial" w:hAnsi="Arial" w:cs="Arial"/>
        </w:rPr>
        <w:t xml:space="preserve"> and may or may not be accessible by</w:t>
      </w:r>
      <w:r w:rsidR="00454016" w:rsidRPr="00CE2CA6">
        <w:rPr>
          <w:rFonts w:ascii="Arial" w:hAnsi="Arial" w:cs="Arial"/>
        </w:rPr>
        <w:t xml:space="preserve"> public transportation. Many times, th</w:t>
      </w:r>
      <w:r w:rsidR="00FB6CE9" w:rsidRPr="00CE2CA6">
        <w:rPr>
          <w:rFonts w:ascii="Arial" w:hAnsi="Arial" w:cs="Arial"/>
        </w:rPr>
        <w:t xml:space="preserve">e individual arrives at court only to wait a considerable time for </w:t>
      </w:r>
      <w:r w:rsidR="00611A69" w:rsidRPr="00CE2CA6">
        <w:rPr>
          <w:rFonts w:ascii="Arial" w:hAnsi="Arial" w:cs="Arial"/>
        </w:rPr>
        <w:t>his or her</w:t>
      </w:r>
      <w:r w:rsidR="00FB6CE9" w:rsidRPr="00CE2CA6">
        <w:rPr>
          <w:rFonts w:ascii="Arial" w:hAnsi="Arial" w:cs="Arial"/>
        </w:rPr>
        <w:t xml:space="preserve"> case to be called and then </w:t>
      </w:r>
      <w:r w:rsidR="00516FF6" w:rsidRPr="00CE2CA6">
        <w:rPr>
          <w:rFonts w:ascii="Arial" w:hAnsi="Arial" w:cs="Arial"/>
        </w:rPr>
        <w:t>participat</w:t>
      </w:r>
      <w:r w:rsidR="00EB4BC8" w:rsidRPr="00CE2CA6">
        <w:rPr>
          <w:rFonts w:ascii="Arial" w:hAnsi="Arial" w:cs="Arial"/>
        </w:rPr>
        <w:t>es</w:t>
      </w:r>
      <w:r w:rsidR="00516FF6" w:rsidRPr="00CE2CA6">
        <w:rPr>
          <w:rFonts w:ascii="Arial" w:hAnsi="Arial" w:cs="Arial"/>
        </w:rPr>
        <w:t xml:space="preserve"> in only a brief hearing resulting in the setting of another hearing</w:t>
      </w:r>
      <w:r w:rsidR="00EB4BC8" w:rsidRPr="00CE2CA6">
        <w:rPr>
          <w:rFonts w:ascii="Arial" w:hAnsi="Arial" w:cs="Arial"/>
        </w:rPr>
        <w:t xml:space="preserve"> date</w:t>
      </w:r>
      <w:r w:rsidR="00454016" w:rsidRPr="00CE2CA6">
        <w:rPr>
          <w:rFonts w:ascii="Arial" w:hAnsi="Arial" w:cs="Arial"/>
        </w:rPr>
        <w:t xml:space="preserve">. For example, in a low-level criminal case, a status hearing </w:t>
      </w:r>
      <w:r w:rsidR="00DE61ED" w:rsidRPr="00CE2CA6">
        <w:rPr>
          <w:rFonts w:ascii="Arial" w:hAnsi="Arial" w:cs="Arial"/>
        </w:rPr>
        <w:t>commonly involves</w:t>
      </w:r>
      <w:r w:rsidR="00454016" w:rsidRPr="00CE2CA6">
        <w:rPr>
          <w:rFonts w:ascii="Arial" w:hAnsi="Arial" w:cs="Arial"/>
        </w:rPr>
        <w:t xml:space="preserve"> only a short exchange regarding discovery</w:t>
      </w:r>
      <w:r w:rsidR="008D088C" w:rsidRPr="00CE2CA6">
        <w:rPr>
          <w:rFonts w:ascii="Arial" w:hAnsi="Arial" w:cs="Arial"/>
        </w:rPr>
        <w:t xml:space="preserve">, status of plea negotiations </w:t>
      </w:r>
      <w:r w:rsidR="00454016" w:rsidRPr="00CE2CA6">
        <w:rPr>
          <w:rFonts w:ascii="Arial" w:hAnsi="Arial" w:cs="Arial"/>
        </w:rPr>
        <w:t xml:space="preserve">and when the case </w:t>
      </w:r>
      <w:r w:rsidR="00DE61ED" w:rsidRPr="00CE2CA6">
        <w:rPr>
          <w:rFonts w:ascii="Arial" w:hAnsi="Arial" w:cs="Arial"/>
        </w:rPr>
        <w:t>will</w:t>
      </w:r>
      <w:r w:rsidR="00454016" w:rsidRPr="00CE2CA6">
        <w:rPr>
          <w:rFonts w:ascii="Arial" w:hAnsi="Arial" w:cs="Arial"/>
        </w:rPr>
        <w:t xml:space="preserve"> be ready for trial. </w:t>
      </w:r>
      <w:r w:rsidR="008D088C" w:rsidRPr="00CE2CA6">
        <w:rPr>
          <w:rFonts w:ascii="Arial" w:hAnsi="Arial" w:cs="Arial"/>
        </w:rPr>
        <w:t xml:space="preserve">Similarly, a status conference in a </w:t>
      </w:r>
      <w:r w:rsidR="00102EDC" w:rsidRPr="00CE2CA6">
        <w:rPr>
          <w:rFonts w:ascii="Arial" w:hAnsi="Arial" w:cs="Arial"/>
        </w:rPr>
        <w:t>child neglect case may be a relatively short conversation</w:t>
      </w:r>
      <w:r w:rsidR="00806DD9" w:rsidRPr="00CE2CA6">
        <w:rPr>
          <w:rFonts w:ascii="Arial" w:hAnsi="Arial" w:cs="Arial"/>
        </w:rPr>
        <w:t xml:space="preserve"> noting that nothing has changed and that the continuation of the current plan and placement remains appropriate. </w:t>
      </w:r>
      <w:r w:rsidR="003769F8" w:rsidRPr="00CE2CA6">
        <w:rPr>
          <w:rFonts w:ascii="Arial" w:hAnsi="Arial" w:cs="Arial"/>
        </w:rPr>
        <w:t>In such cases, the ability to attend a hearing by phone or video conference may provide greater efficiency</w:t>
      </w:r>
      <w:r w:rsidR="006A004E" w:rsidRPr="00CE2CA6">
        <w:rPr>
          <w:rFonts w:ascii="Arial" w:hAnsi="Arial" w:cs="Arial"/>
        </w:rPr>
        <w:t xml:space="preserve">, as well as </w:t>
      </w:r>
      <w:r w:rsidR="003769F8" w:rsidRPr="00CE2CA6">
        <w:rPr>
          <w:rFonts w:ascii="Arial" w:hAnsi="Arial" w:cs="Arial"/>
        </w:rPr>
        <w:t xml:space="preserve">cause far less disruption and expense for </w:t>
      </w:r>
      <w:r w:rsidR="002F63BA" w:rsidRPr="00CE2CA6">
        <w:rPr>
          <w:rFonts w:ascii="Arial" w:hAnsi="Arial" w:cs="Arial"/>
        </w:rPr>
        <w:t>the</w:t>
      </w:r>
      <w:r w:rsidR="003769F8" w:rsidRPr="00CE2CA6">
        <w:rPr>
          <w:rFonts w:ascii="Arial" w:hAnsi="Arial" w:cs="Arial"/>
        </w:rPr>
        <w:t xml:space="preserve"> parties involved.</w:t>
      </w:r>
      <w:r w:rsidR="002C684B" w:rsidRPr="00CE2CA6">
        <w:rPr>
          <w:rFonts w:ascii="Arial" w:hAnsi="Arial" w:cs="Arial"/>
        </w:rPr>
        <w:t xml:space="preserve"> For this reason, remote court procedures have been used in some rural communities for a long time.</w:t>
      </w:r>
      <w:r w:rsidR="00414D5A" w:rsidRPr="00CE2CA6">
        <w:rPr>
          <w:rStyle w:val="FootnoteReference"/>
          <w:rFonts w:ascii="Arial" w:hAnsi="Arial" w:cs="Arial"/>
        </w:rPr>
        <w:footnoteReference w:id="6"/>
      </w:r>
      <w:r w:rsidR="002C684B" w:rsidRPr="00CE2CA6">
        <w:rPr>
          <w:rFonts w:ascii="Arial" w:hAnsi="Arial" w:cs="Arial"/>
        </w:rPr>
        <w:t xml:space="preserve"> </w:t>
      </w:r>
    </w:p>
    <w:p w14:paraId="22638FFF" w14:textId="77777777" w:rsidR="006A004E" w:rsidRPr="00CE2CA6" w:rsidRDefault="006A004E" w:rsidP="0006498E">
      <w:pPr>
        <w:rPr>
          <w:rFonts w:ascii="Arial" w:hAnsi="Arial" w:cs="Arial"/>
        </w:rPr>
      </w:pPr>
    </w:p>
    <w:p w14:paraId="4D7A08CD" w14:textId="7B2BEC32" w:rsidR="00AE7286" w:rsidRPr="00CE2CA6" w:rsidRDefault="006A004E" w:rsidP="007A78BC">
      <w:pPr>
        <w:spacing w:after="240"/>
        <w:jc w:val="both"/>
        <w:rPr>
          <w:rFonts w:ascii="Arial" w:hAnsi="Arial" w:cs="Arial"/>
        </w:rPr>
      </w:pPr>
      <w:r w:rsidRPr="00CE2CA6">
        <w:rPr>
          <w:rFonts w:ascii="Arial" w:hAnsi="Arial" w:cs="Arial"/>
        </w:rPr>
        <w:t>However, virtual and remote court procedures, if mandated, also raise the possibility of restricting access or causing prejudice to one part</w:t>
      </w:r>
      <w:r w:rsidR="001570A6" w:rsidRPr="00CE2CA6">
        <w:rPr>
          <w:rFonts w:ascii="Arial" w:hAnsi="Arial" w:cs="Arial"/>
        </w:rPr>
        <w:t>y</w:t>
      </w:r>
      <w:r w:rsidR="00EB7D9A" w:rsidRPr="00CE2CA6">
        <w:rPr>
          <w:rFonts w:ascii="Arial" w:hAnsi="Arial" w:cs="Arial"/>
        </w:rPr>
        <w:t xml:space="preserve">. Many </w:t>
      </w:r>
      <w:r w:rsidR="001570A6" w:rsidRPr="00CE2CA6">
        <w:rPr>
          <w:rFonts w:ascii="Arial" w:hAnsi="Arial" w:cs="Arial"/>
        </w:rPr>
        <w:t>individuals lack the technolog</w:t>
      </w:r>
      <w:r w:rsidR="00611ED3" w:rsidRPr="00CE2CA6">
        <w:rPr>
          <w:rFonts w:ascii="Arial" w:hAnsi="Arial" w:cs="Arial"/>
        </w:rPr>
        <w:t>y, connectivity or skills necessary</w:t>
      </w:r>
      <w:r w:rsidR="001570A6" w:rsidRPr="00CE2CA6">
        <w:rPr>
          <w:rFonts w:ascii="Arial" w:hAnsi="Arial" w:cs="Arial"/>
        </w:rPr>
        <w:t xml:space="preserve"> to effectively participate in such proceedings</w:t>
      </w:r>
      <w:r w:rsidR="009E57AE" w:rsidRPr="00CE2CA6">
        <w:rPr>
          <w:rFonts w:ascii="Arial" w:hAnsi="Arial" w:cs="Arial"/>
        </w:rPr>
        <w:t xml:space="preserve"> without assistance</w:t>
      </w:r>
      <w:r w:rsidR="00671CD2" w:rsidRPr="00CE2CA6">
        <w:rPr>
          <w:rFonts w:ascii="Arial" w:hAnsi="Arial" w:cs="Arial"/>
        </w:rPr>
        <w:t>.</w:t>
      </w:r>
      <w:r w:rsidR="00AE7286" w:rsidRPr="00CE2CA6">
        <w:rPr>
          <w:rFonts w:ascii="Arial" w:hAnsi="Arial" w:cs="Arial"/>
        </w:rPr>
        <w:t xml:space="preserve"> </w:t>
      </w:r>
      <w:r w:rsidR="003D59EE" w:rsidRPr="00CE2CA6">
        <w:rPr>
          <w:rFonts w:ascii="Arial" w:hAnsi="Arial" w:cs="Arial"/>
        </w:rPr>
        <w:t>When designing and evaluating virtual and remote court procedures, it is important to keep in mind these potential participants</w:t>
      </w:r>
      <w:r w:rsidR="00642BEF" w:rsidRPr="00CE2CA6">
        <w:rPr>
          <w:rFonts w:ascii="Arial" w:hAnsi="Arial" w:cs="Arial"/>
        </w:rPr>
        <w:t xml:space="preserve"> and their struggles</w:t>
      </w:r>
      <w:r w:rsidR="003D59EE" w:rsidRPr="00CE2CA6">
        <w:rPr>
          <w:rFonts w:ascii="Arial" w:hAnsi="Arial" w:cs="Arial"/>
        </w:rPr>
        <w:t>.</w:t>
      </w:r>
    </w:p>
    <w:p w14:paraId="36B77DCB" w14:textId="453FBB7B" w:rsidR="001A3F42" w:rsidRPr="00CE2CA6" w:rsidRDefault="007A78BC" w:rsidP="007A78BC">
      <w:pPr>
        <w:spacing w:after="240"/>
        <w:jc w:val="both"/>
        <w:rPr>
          <w:rFonts w:ascii="Arial" w:hAnsi="Arial" w:cs="Arial"/>
          <w:bCs/>
          <w:lang w:val="en"/>
        </w:rPr>
      </w:pPr>
      <w:r w:rsidRPr="00CE2CA6">
        <w:rPr>
          <w:rFonts w:ascii="Arial" w:hAnsi="Arial" w:cs="Arial"/>
          <w:bCs/>
          <w:lang w:val="en"/>
        </w:rPr>
        <w:t xml:space="preserve">In many essential and time-sensitive civil proceedings, such as family court proceedings, litigants are not represented by counsel. </w:t>
      </w:r>
      <w:r w:rsidRPr="00CE2CA6">
        <w:rPr>
          <w:rFonts w:ascii="Arial" w:hAnsi="Arial" w:cs="Arial"/>
        </w:rPr>
        <w:t xml:space="preserve">Depending on case type and location, </w:t>
      </w:r>
      <w:r w:rsidR="00E76ACC">
        <w:rPr>
          <w:rFonts w:ascii="Arial" w:hAnsi="Arial" w:cs="Arial"/>
        </w:rPr>
        <w:t xml:space="preserve">between </w:t>
      </w:r>
      <w:r w:rsidRPr="00CE2CA6">
        <w:rPr>
          <w:rFonts w:ascii="Arial" w:hAnsi="Arial" w:cs="Arial"/>
        </w:rPr>
        <w:t>65</w:t>
      </w:r>
      <w:r w:rsidR="00E76ACC">
        <w:rPr>
          <w:rFonts w:ascii="Arial" w:hAnsi="Arial" w:cs="Arial"/>
        </w:rPr>
        <w:t xml:space="preserve">% and </w:t>
      </w:r>
      <w:r w:rsidRPr="00CE2CA6">
        <w:rPr>
          <w:rFonts w:ascii="Arial" w:hAnsi="Arial" w:cs="Arial"/>
        </w:rPr>
        <w:t>100% of litigants in civil cases are self-represented</w:t>
      </w:r>
      <w:r w:rsidR="00996195">
        <w:rPr>
          <w:rFonts w:ascii="Arial" w:hAnsi="Arial" w:cs="Arial"/>
        </w:rPr>
        <w:t>, which</w:t>
      </w:r>
      <w:r w:rsidRPr="00CE2CA6">
        <w:rPr>
          <w:rFonts w:ascii="Arial" w:hAnsi="Arial" w:cs="Arial"/>
        </w:rPr>
        <w:t xml:space="preserve"> translates into an estimated 30 million self-represented litigants per year going through the civil courts.</w:t>
      </w:r>
      <w:r w:rsidRPr="00CE2CA6">
        <w:rPr>
          <w:rStyle w:val="FootnoteReference"/>
          <w:rFonts w:ascii="Arial" w:hAnsi="Arial" w:cs="Arial"/>
        </w:rPr>
        <w:footnoteReference w:id="7"/>
      </w:r>
      <w:r w:rsidRPr="00CE2CA6">
        <w:rPr>
          <w:rFonts w:ascii="Arial" w:hAnsi="Arial" w:cs="Arial"/>
        </w:rPr>
        <w:t xml:space="preserve"> </w:t>
      </w:r>
      <w:r w:rsidRPr="00CE2CA6">
        <w:rPr>
          <w:rFonts w:ascii="Arial" w:hAnsi="Arial" w:cs="Arial"/>
          <w:bCs/>
          <w:lang w:val="en"/>
        </w:rPr>
        <w:t>Similarly</w:t>
      </w:r>
      <w:r w:rsidR="00B91167">
        <w:rPr>
          <w:rFonts w:ascii="Arial" w:hAnsi="Arial" w:cs="Arial"/>
          <w:bCs/>
          <w:lang w:val="en"/>
        </w:rPr>
        <w:t>,</w:t>
      </w:r>
      <w:r w:rsidRPr="00CE2CA6">
        <w:rPr>
          <w:rFonts w:ascii="Arial" w:hAnsi="Arial" w:cs="Arial"/>
          <w:bCs/>
          <w:lang w:val="en"/>
        </w:rPr>
        <w:t xml:space="preserve"> in the lowest level criminal cases, in which the potential punishment is limited to a fine, most individuals are not represented. </w:t>
      </w:r>
      <w:r w:rsidR="00671CD2" w:rsidRPr="00CE2CA6">
        <w:rPr>
          <w:rFonts w:ascii="Arial" w:hAnsi="Arial" w:cs="Arial"/>
          <w:bCs/>
          <w:lang w:val="en"/>
        </w:rPr>
        <w:t xml:space="preserve">In criminal cases, approximately 80% of </w:t>
      </w:r>
      <w:r w:rsidR="00290852" w:rsidRPr="00CE2CA6">
        <w:rPr>
          <w:rFonts w:ascii="Arial" w:hAnsi="Arial" w:cs="Arial"/>
          <w:bCs/>
          <w:lang w:val="en"/>
        </w:rPr>
        <w:t xml:space="preserve">all defendants qualify for </w:t>
      </w:r>
      <w:r w:rsidR="00D774A1" w:rsidRPr="00CE2CA6">
        <w:rPr>
          <w:rFonts w:ascii="Arial" w:hAnsi="Arial" w:cs="Arial"/>
          <w:bCs/>
          <w:lang w:val="en"/>
        </w:rPr>
        <w:t>public defense services</w:t>
      </w:r>
      <w:r w:rsidR="00B82A50" w:rsidRPr="00CE2CA6">
        <w:rPr>
          <w:rFonts w:ascii="Arial" w:hAnsi="Arial" w:cs="Arial"/>
          <w:bCs/>
          <w:lang w:val="en"/>
        </w:rPr>
        <w:t>, generally indicating that the</w:t>
      </w:r>
      <w:r w:rsidR="007A780C" w:rsidRPr="00CE2CA6">
        <w:rPr>
          <w:rFonts w:ascii="Arial" w:hAnsi="Arial" w:cs="Arial"/>
          <w:bCs/>
          <w:lang w:val="en"/>
        </w:rPr>
        <w:t>ir</w:t>
      </w:r>
      <w:r w:rsidR="00B82A50" w:rsidRPr="00CE2CA6">
        <w:rPr>
          <w:rFonts w:ascii="Arial" w:hAnsi="Arial" w:cs="Arial"/>
          <w:bCs/>
          <w:lang w:val="en"/>
        </w:rPr>
        <w:t xml:space="preserve"> family income is at or near the poverty line.</w:t>
      </w:r>
      <w:r w:rsidR="00332A11" w:rsidRPr="00CE2CA6">
        <w:rPr>
          <w:rStyle w:val="FootnoteReference"/>
          <w:rFonts w:ascii="Arial" w:hAnsi="Arial" w:cs="Arial"/>
          <w:bCs/>
          <w:lang w:val="en"/>
        </w:rPr>
        <w:footnoteReference w:id="8"/>
      </w:r>
      <w:r w:rsidR="001A3F42" w:rsidRPr="00CE2CA6">
        <w:rPr>
          <w:rFonts w:ascii="Arial" w:hAnsi="Arial" w:cs="Arial"/>
          <w:bCs/>
          <w:lang w:val="en"/>
        </w:rPr>
        <w:t xml:space="preserve"> </w:t>
      </w:r>
      <w:r w:rsidR="00F40A92" w:rsidRPr="00CE2CA6">
        <w:rPr>
          <w:rFonts w:ascii="Arial" w:hAnsi="Arial" w:cs="Arial"/>
          <w:bCs/>
          <w:lang w:val="en"/>
        </w:rPr>
        <w:t>Income</w:t>
      </w:r>
      <w:r w:rsidR="00810668" w:rsidRPr="00CE2CA6">
        <w:rPr>
          <w:rFonts w:ascii="Arial" w:hAnsi="Arial" w:cs="Arial"/>
          <w:bCs/>
          <w:lang w:val="en"/>
        </w:rPr>
        <w:t xml:space="preserve"> matters because many of the procedures for virtual or remote court require the participant to have internet or a phone line. Legal aid providers and public defenders report that even telephonic hearings can be problematic. Very few people have </w:t>
      </w:r>
      <w:r w:rsidR="002660FF">
        <w:rPr>
          <w:rFonts w:ascii="Arial" w:hAnsi="Arial" w:cs="Arial"/>
          <w:bCs/>
          <w:lang w:val="en"/>
        </w:rPr>
        <w:t>land line</w:t>
      </w:r>
      <w:r w:rsidR="00810668" w:rsidRPr="00CE2CA6">
        <w:rPr>
          <w:rFonts w:ascii="Arial" w:hAnsi="Arial" w:cs="Arial"/>
          <w:bCs/>
          <w:lang w:val="en"/>
        </w:rPr>
        <w:t xml:space="preserve"> phones and many clients who have cell phones</w:t>
      </w:r>
      <w:r w:rsidR="00F33E27" w:rsidRPr="00CE2CA6">
        <w:rPr>
          <w:rStyle w:val="FootnoteReference"/>
          <w:rFonts w:ascii="Arial" w:hAnsi="Arial" w:cs="Arial"/>
          <w:bCs/>
          <w:lang w:val="en"/>
        </w:rPr>
        <w:footnoteReference w:id="9"/>
      </w:r>
      <w:r w:rsidR="00810668" w:rsidRPr="00CE2CA6">
        <w:rPr>
          <w:rFonts w:ascii="Arial" w:hAnsi="Arial" w:cs="Arial"/>
          <w:bCs/>
          <w:lang w:val="en"/>
        </w:rPr>
        <w:t xml:space="preserve"> use prepaid calling plans that may run out</w:t>
      </w:r>
      <w:r w:rsidR="00675698" w:rsidRPr="00CE2CA6">
        <w:rPr>
          <w:rFonts w:ascii="Arial" w:hAnsi="Arial" w:cs="Arial"/>
          <w:bCs/>
          <w:lang w:val="en"/>
        </w:rPr>
        <w:t xml:space="preserve"> or go inactive during periods of personal economic stress</w:t>
      </w:r>
      <w:r w:rsidR="005306C5" w:rsidRPr="00CE2CA6">
        <w:rPr>
          <w:rFonts w:ascii="Arial" w:hAnsi="Arial" w:cs="Arial"/>
          <w:bCs/>
          <w:lang w:val="en"/>
        </w:rPr>
        <w:t>.</w:t>
      </w:r>
      <w:r w:rsidR="007D75E2" w:rsidRPr="00CE2CA6">
        <w:rPr>
          <w:rStyle w:val="FootnoteReference"/>
          <w:rFonts w:ascii="Arial" w:hAnsi="Arial" w:cs="Arial"/>
          <w:bCs/>
          <w:lang w:val="en"/>
        </w:rPr>
        <w:footnoteReference w:id="10"/>
      </w:r>
      <w:r w:rsidR="00E374D0" w:rsidRPr="00CE2CA6">
        <w:rPr>
          <w:rFonts w:ascii="Arial" w:hAnsi="Arial" w:cs="Arial"/>
          <w:bCs/>
          <w:lang w:val="en"/>
        </w:rPr>
        <w:t xml:space="preserve"> </w:t>
      </w:r>
    </w:p>
    <w:p w14:paraId="788D2D56" w14:textId="74371960" w:rsidR="000C141F" w:rsidRPr="00CE2CA6" w:rsidRDefault="00810668" w:rsidP="007A78BC">
      <w:pPr>
        <w:spacing w:after="240"/>
        <w:jc w:val="both"/>
        <w:rPr>
          <w:rFonts w:ascii="Arial" w:hAnsi="Arial" w:cs="Arial"/>
          <w:bCs/>
          <w:lang w:val="en"/>
        </w:rPr>
      </w:pPr>
      <w:r w:rsidRPr="00CE2CA6">
        <w:rPr>
          <w:rFonts w:ascii="Arial" w:hAnsi="Arial" w:cs="Arial"/>
          <w:bCs/>
          <w:lang w:val="en"/>
        </w:rPr>
        <w:t xml:space="preserve">While internet access continues to improve, a substantial number of </w:t>
      </w:r>
      <w:r w:rsidR="00C76F4D" w:rsidRPr="00CE2CA6">
        <w:rPr>
          <w:rFonts w:ascii="Arial" w:hAnsi="Arial" w:cs="Arial"/>
          <w:bCs/>
          <w:lang w:val="en"/>
        </w:rPr>
        <w:t xml:space="preserve">individuals and communities still lack access. </w:t>
      </w:r>
      <w:r w:rsidR="00B41A2E" w:rsidRPr="00CE2CA6">
        <w:rPr>
          <w:rFonts w:ascii="Arial" w:hAnsi="Arial" w:cs="Arial"/>
          <w:bCs/>
          <w:lang w:val="en"/>
        </w:rPr>
        <w:t xml:space="preserve">According to a Pew study </w:t>
      </w:r>
      <w:r w:rsidR="00554D3A" w:rsidRPr="00CE2CA6">
        <w:rPr>
          <w:rFonts w:ascii="Arial" w:hAnsi="Arial" w:cs="Arial"/>
          <w:bCs/>
          <w:lang w:val="en"/>
        </w:rPr>
        <w:t>released in 2019, 10% of American adults do not use the internet.</w:t>
      </w:r>
      <w:r w:rsidR="00F0599A" w:rsidRPr="00CE2CA6">
        <w:rPr>
          <w:rStyle w:val="FootnoteReference"/>
          <w:rFonts w:ascii="Arial" w:hAnsi="Arial" w:cs="Arial"/>
          <w:bCs/>
          <w:lang w:val="en"/>
        </w:rPr>
        <w:footnoteReference w:id="11"/>
      </w:r>
      <w:r w:rsidR="00554D3A" w:rsidRPr="00CE2CA6">
        <w:rPr>
          <w:rFonts w:ascii="Arial" w:hAnsi="Arial" w:cs="Arial"/>
          <w:bCs/>
          <w:lang w:val="en"/>
        </w:rPr>
        <w:t xml:space="preserve"> </w:t>
      </w:r>
      <w:r w:rsidR="00771568" w:rsidRPr="00CE2CA6">
        <w:rPr>
          <w:rFonts w:ascii="Arial" w:hAnsi="Arial" w:cs="Arial"/>
          <w:bCs/>
          <w:lang w:val="en"/>
        </w:rPr>
        <w:t>This percentage rises to almost 30% for adults with less than a high school education.</w:t>
      </w:r>
      <w:r w:rsidR="00C76F4D" w:rsidRPr="00CE2CA6">
        <w:rPr>
          <w:rStyle w:val="FootnoteReference"/>
          <w:rFonts w:ascii="Arial" w:hAnsi="Arial" w:cs="Arial"/>
          <w:bCs/>
          <w:lang w:val="en"/>
        </w:rPr>
        <w:footnoteReference w:id="12"/>
      </w:r>
      <w:r w:rsidR="00266971" w:rsidRPr="00CE2CA6">
        <w:rPr>
          <w:rFonts w:ascii="Arial" w:hAnsi="Arial" w:cs="Arial"/>
          <w:bCs/>
          <w:lang w:val="en"/>
        </w:rPr>
        <w:t xml:space="preserve"> </w:t>
      </w:r>
      <w:r w:rsidR="00F0599A" w:rsidRPr="00CE2CA6">
        <w:rPr>
          <w:rFonts w:ascii="Arial" w:hAnsi="Arial" w:cs="Arial"/>
          <w:bCs/>
          <w:lang w:val="en"/>
        </w:rPr>
        <w:t>Adults from households earning less than $30,000 a year are also far more likely to not use the internet.</w:t>
      </w:r>
      <w:r w:rsidR="00C76F4D" w:rsidRPr="00CE2CA6">
        <w:rPr>
          <w:rStyle w:val="FootnoteReference"/>
          <w:rFonts w:ascii="Arial" w:hAnsi="Arial" w:cs="Arial"/>
          <w:bCs/>
          <w:lang w:val="en"/>
        </w:rPr>
        <w:footnoteReference w:id="13"/>
      </w:r>
      <w:r w:rsidR="00A033CD" w:rsidRPr="00CE2CA6">
        <w:rPr>
          <w:rFonts w:ascii="Arial" w:hAnsi="Arial" w:cs="Arial"/>
          <w:bCs/>
          <w:lang w:val="en"/>
        </w:rPr>
        <w:t xml:space="preserve"> Another Pew study noted </w:t>
      </w:r>
      <w:r w:rsidR="00E57949" w:rsidRPr="00CE2CA6">
        <w:rPr>
          <w:rFonts w:ascii="Arial" w:hAnsi="Arial" w:cs="Arial"/>
          <w:bCs/>
          <w:lang w:val="en"/>
        </w:rPr>
        <w:t>that about one quarter of rural adults report that “access to high-speed internet is a major problem in their local community.”</w:t>
      </w:r>
      <w:r w:rsidR="001941C7" w:rsidRPr="00CE2CA6">
        <w:rPr>
          <w:rStyle w:val="FootnoteReference"/>
          <w:rFonts w:ascii="Arial" w:hAnsi="Arial" w:cs="Arial"/>
          <w:bCs/>
          <w:lang w:val="en"/>
        </w:rPr>
        <w:footnoteReference w:id="14"/>
      </w:r>
      <w:r w:rsidR="00954B0C" w:rsidRPr="00CE2CA6">
        <w:rPr>
          <w:rFonts w:ascii="Arial" w:hAnsi="Arial" w:cs="Arial"/>
          <w:bCs/>
          <w:lang w:val="en"/>
        </w:rPr>
        <w:t xml:space="preserve"> Even in suburban and urban areas, substantial numbers of adults (</w:t>
      </w:r>
      <w:r w:rsidR="001941C7" w:rsidRPr="00CE2CA6">
        <w:rPr>
          <w:rFonts w:ascii="Arial" w:hAnsi="Arial" w:cs="Arial"/>
          <w:bCs/>
          <w:lang w:val="en"/>
        </w:rPr>
        <w:t xml:space="preserve">13% and 9% respectively) </w:t>
      </w:r>
      <w:r w:rsidR="00954B0C" w:rsidRPr="00CE2CA6">
        <w:rPr>
          <w:rFonts w:ascii="Arial" w:hAnsi="Arial" w:cs="Arial"/>
          <w:bCs/>
          <w:lang w:val="en"/>
        </w:rPr>
        <w:t>report major problems with internet access.</w:t>
      </w:r>
      <w:r w:rsidR="007D7452" w:rsidRPr="00CE2CA6">
        <w:rPr>
          <w:rStyle w:val="FootnoteReference"/>
          <w:rFonts w:ascii="Arial" w:hAnsi="Arial" w:cs="Arial"/>
          <w:bCs/>
          <w:lang w:val="en"/>
        </w:rPr>
        <w:footnoteReference w:id="15"/>
      </w:r>
      <w:r w:rsidR="00442F76" w:rsidRPr="00CE2CA6">
        <w:rPr>
          <w:rFonts w:ascii="Arial" w:hAnsi="Arial" w:cs="Arial"/>
          <w:bCs/>
          <w:lang w:val="en"/>
        </w:rPr>
        <w:t xml:space="preserve"> </w:t>
      </w:r>
      <w:r w:rsidR="00DD7157" w:rsidRPr="00CE2CA6">
        <w:rPr>
          <w:rFonts w:ascii="Arial" w:hAnsi="Arial" w:cs="Arial"/>
          <w:bCs/>
          <w:lang w:val="en"/>
        </w:rPr>
        <w:t xml:space="preserve">Percentage of adults using broadband at home also differs by race, with almost 80% of white adults reporting home broadband access, compared to </w:t>
      </w:r>
      <w:r w:rsidR="006914E1" w:rsidRPr="00CE2CA6">
        <w:rPr>
          <w:rFonts w:ascii="Arial" w:hAnsi="Arial" w:cs="Arial"/>
          <w:bCs/>
          <w:lang w:val="en"/>
        </w:rPr>
        <w:t xml:space="preserve">66% of black adults and </w:t>
      </w:r>
      <w:r w:rsidR="008B3F1E" w:rsidRPr="00CE2CA6">
        <w:rPr>
          <w:rFonts w:ascii="Arial" w:hAnsi="Arial" w:cs="Arial"/>
          <w:bCs/>
          <w:lang w:val="en"/>
        </w:rPr>
        <w:t>61% of Hispanic adults.</w:t>
      </w:r>
      <w:r w:rsidR="00BB7F22" w:rsidRPr="00CE2CA6">
        <w:rPr>
          <w:rStyle w:val="FootnoteReference"/>
          <w:rFonts w:ascii="Arial" w:hAnsi="Arial" w:cs="Arial"/>
          <w:bCs/>
          <w:lang w:val="en"/>
        </w:rPr>
        <w:footnoteReference w:id="16"/>
      </w:r>
    </w:p>
    <w:p w14:paraId="453944A6" w14:textId="18591BE1" w:rsidR="004C7527" w:rsidRPr="00CE2CA6" w:rsidRDefault="0049244F" w:rsidP="007A78BC">
      <w:pPr>
        <w:spacing w:after="240"/>
        <w:jc w:val="both"/>
        <w:rPr>
          <w:rFonts w:ascii="Arial" w:hAnsi="Arial" w:cs="Arial"/>
          <w:bCs/>
          <w:lang w:val="en"/>
        </w:rPr>
      </w:pPr>
      <w:r w:rsidRPr="00CE2CA6">
        <w:rPr>
          <w:rFonts w:ascii="Arial" w:hAnsi="Arial" w:cs="Arial"/>
          <w:bCs/>
          <w:lang w:val="en"/>
        </w:rPr>
        <w:t xml:space="preserve">Access is not made equal by simply providing the technology and instructions. </w:t>
      </w:r>
      <w:r w:rsidR="004C7527" w:rsidRPr="00CE2CA6">
        <w:rPr>
          <w:rFonts w:ascii="Arial" w:hAnsi="Arial" w:cs="Arial"/>
          <w:bCs/>
          <w:lang w:val="en"/>
        </w:rPr>
        <w:t>Even whe</w:t>
      </w:r>
      <w:r w:rsidR="000B0895" w:rsidRPr="00CE2CA6">
        <w:rPr>
          <w:rFonts w:ascii="Arial" w:hAnsi="Arial" w:cs="Arial"/>
          <w:bCs/>
          <w:lang w:val="en"/>
        </w:rPr>
        <w:t>n an individual can obtain access to internet to participate in virtual proceedings, th</w:t>
      </w:r>
      <w:r w:rsidR="00D526CC" w:rsidRPr="00CE2CA6">
        <w:rPr>
          <w:rFonts w:ascii="Arial" w:hAnsi="Arial" w:cs="Arial"/>
          <w:bCs/>
          <w:lang w:val="en"/>
        </w:rPr>
        <w:t>e conditions of their home or surrounding</w:t>
      </w:r>
      <w:r w:rsidR="00E15FA5">
        <w:rPr>
          <w:rFonts w:ascii="Arial" w:hAnsi="Arial" w:cs="Arial"/>
          <w:bCs/>
          <w:lang w:val="en"/>
        </w:rPr>
        <w:t>s</w:t>
      </w:r>
      <w:r w:rsidR="00D526CC" w:rsidRPr="00CE2CA6">
        <w:rPr>
          <w:rFonts w:ascii="Arial" w:hAnsi="Arial" w:cs="Arial"/>
          <w:bCs/>
          <w:lang w:val="en"/>
        </w:rPr>
        <w:t xml:space="preserve"> may unwittingly create prejudice or bias. </w:t>
      </w:r>
      <w:r w:rsidR="003E40F8" w:rsidRPr="00CE2CA6">
        <w:rPr>
          <w:rFonts w:ascii="Arial" w:hAnsi="Arial" w:cs="Arial"/>
          <w:bCs/>
          <w:lang w:val="en"/>
        </w:rPr>
        <w:t xml:space="preserve">Legal aid providers and public defenders have expressed concern that, unlike in courtrooms, where they can discuss and </w:t>
      </w:r>
      <w:r w:rsidR="00B76896" w:rsidRPr="00CE2CA6">
        <w:rPr>
          <w:rFonts w:ascii="Arial" w:hAnsi="Arial" w:cs="Arial"/>
          <w:bCs/>
          <w:lang w:val="en"/>
        </w:rPr>
        <w:t xml:space="preserve">even </w:t>
      </w:r>
      <w:r w:rsidR="003E40F8" w:rsidRPr="00CE2CA6">
        <w:rPr>
          <w:rFonts w:ascii="Arial" w:hAnsi="Arial" w:cs="Arial"/>
          <w:bCs/>
          <w:lang w:val="en"/>
        </w:rPr>
        <w:t>assist their clients with appropriate clothing</w:t>
      </w:r>
      <w:r w:rsidR="00B04F2B" w:rsidRPr="00CE2CA6">
        <w:rPr>
          <w:rFonts w:ascii="Arial" w:hAnsi="Arial" w:cs="Arial"/>
          <w:bCs/>
          <w:lang w:val="en"/>
        </w:rPr>
        <w:t xml:space="preserve"> and other aspects of presentation</w:t>
      </w:r>
      <w:r w:rsidR="003E40F8" w:rsidRPr="00CE2CA6">
        <w:rPr>
          <w:rFonts w:ascii="Arial" w:hAnsi="Arial" w:cs="Arial"/>
          <w:bCs/>
          <w:lang w:val="en"/>
        </w:rPr>
        <w:t xml:space="preserve">, </w:t>
      </w:r>
      <w:r w:rsidR="00B04F2B" w:rsidRPr="00CE2CA6">
        <w:rPr>
          <w:rFonts w:ascii="Arial" w:hAnsi="Arial" w:cs="Arial"/>
          <w:bCs/>
          <w:lang w:val="en"/>
        </w:rPr>
        <w:t>they cannot go to their homes and ensure that the space is clear</w:t>
      </w:r>
      <w:r w:rsidR="003B2CAB" w:rsidRPr="00CE2CA6">
        <w:rPr>
          <w:rFonts w:ascii="Arial" w:hAnsi="Arial" w:cs="Arial"/>
          <w:bCs/>
          <w:lang w:val="en"/>
        </w:rPr>
        <w:t xml:space="preserve"> and quiet, </w:t>
      </w:r>
      <w:r w:rsidR="00FA790F">
        <w:rPr>
          <w:rFonts w:ascii="Arial" w:hAnsi="Arial" w:cs="Arial"/>
          <w:bCs/>
          <w:lang w:val="en"/>
        </w:rPr>
        <w:t xml:space="preserve">and </w:t>
      </w:r>
      <w:r w:rsidR="003B2CAB" w:rsidRPr="00CE2CA6">
        <w:rPr>
          <w:rFonts w:ascii="Arial" w:hAnsi="Arial" w:cs="Arial"/>
          <w:bCs/>
          <w:lang w:val="en"/>
        </w:rPr>
        <w:t>that the client has appropriate lighting, etc.</w:t>
      </w:r>
      <w:r w:rsidR="00B76896" w:rsidRPr="00CE2CA6">
        <w:rPr>
          <w:rFonts w:ascii="Arial" w:hAnsi="Arial" w:cs="Arial"/>
          <w:bCs/>
          <w:lang w:val="en"/>
        </w:rPr>
        <w:t xml:space="preserve"> before the start of a video proceeding.</w:t>
      </w:r>
      <w:r w:rsidR="003B2CAB" w:rsidRPr="00CE2CA6">
        <w:rPr>
          <w:rFonts w:ascii="Arial" w:hAnsi="Arial" w:cs="Arial"/>
          <w:bCs/>
          <w:lang w:val="en"/>
        </w:rPr>
        <w:t xml:space="preserve"> A</w:t>
      </w:r>
      <w:r w:rsidR="00D8632D" w:rsidRPr="00CE2CA6">
        <w:rPr>
          <w:rFonts w:ascii="Arial" w:hAnsi="Arial" w:cs="Arial"/>
          <w:bCs/>
          <w:lang w:val="en"/>
        </w:rPr>
        <w:t xml:space="preserve"> cluttered or dirty home, a </w:t>
      </w:r>
      <w:r w:rsidR="00A10747" w:rsidRPr="00CE2CA6">
        <w:rPr>
          <w:rFonts w:ascii="Arial" w:hAnsi="Arial" w:cs="Arial"/>
          <w:bCs/>
          <w:lang w:val="en"/>
        </w:rPr>
        <w:t>noisy or crowded space</w:t>
      </w:r>
      <w:r w:rsidR="00D8632D" w:rsidRPr="00CE2CA6">
        <w:rPr>
          <w:rFonts w:ascii="Arial" w:hAnsi="Arial" w:cs="Arial"/>
          <w:bCs/>
          <w:lang w:val="en"/>
        </w:rPr>
        <w:t xml:space="preserve">, </w:t>
      </w:r>
      <w:r w:rsidR="003B2CAB" w:rsidRPr="00CE2CA6">
        <w:rPr>
          <w:rFonts w:ascii="Arial" w:hAnsi="Arial" w:cs="Arial"/>
          <w:bCs/>
          <w:lang w:val="en"/>
        </w:rPr>
        <w:t>or</w:t>
      </w:r>
      <w:r w:rsidR="00051A70" w:rsidRPr="00CE2CA6">
        <w:rPr>
          <w:rFonts w:ascii="Arial" w:hAnsi="Arial" w:cs="Arial"/>
          <w:bCs/>
          <w:lang w:val="en"/>
        </w:rPr>
        <w:t xml:space="preserve"> even a </w:t>
      </w:r>
      <w:r w:rsidR="00501362" w:rsidRPr="00CE2CA6">
        <w:rPr>
          <w:rFonts w:ascii="Arial" w:hAnsi="Arial" w:cs="Arial"/>
          <w:bCs/>
          <w:lang w:val="en"/>
        </w:rPr>
        <w:t xml:space="preserve">particular </w:t>
      </w:r>
      <w:r w:rsidR="00051A70" w:rsidRPr="00CE2CA6">
        <w:rPr>
          <w:rFonts w:ascii="Arial" w:hAnsi="Arial" w:cs="Arial"/>
          <w:bCs/>
          <w:lang w:val="en"/>
        </w:rPr>
        <w:t>poster</w:t>
      </w:r>
      <w:r w:rsidR="00501362" w:rsidRPr="00CE2CA6">
        <w:rPr>
          <w:rFonts w:ascii="Arial" w:hAnsi="Arial" w:cs="Arial"/>
          <w:bCs/>
          <w:lang w:val="en"/>
        </w:rPr>
        <w:t xml:space="preserve"> or book</w:t>
      </w:r>
      <w:r w:rsidR="000C141F" w:rsidRPr="00CE2CA6">
        <w:rPr>
          <w:rFonts w:ascii="Arial" w:hAnsi="Arial" w:cs="Arial"/>
          <w:bCs/>
          <w:lang w:val="en"/>
        </w:rPr>
        <w:t xml:space="preserve"> could leave an impression that harms rather than assists </w:t>
      </w:r>
      <w:r w:rsidR="002D4E2D" w:rsidRPr="00CE2CA6">
        <w:rPr>
          <w:rFonts w:ascii="Arial" w:hAnsi="Arial" w:cs="Arial"/>
          <w:bCs/>
          <w:lang w:val="en"/>
        </w:rPr>
        <w:t>a litigant.</w:t>
      </w:r>
      <w:r w:rsidR="00AD3C4B" w:rsidRPr="00CE2CA6">
        <w:rPr>
          <w:rStyle w:val="FootnoteReference"/>
          <w:rFonts w:ascii="Arial" w:hAnsi="Arial" w:cs="Arial"/>
          <w:bCs/>
          <w:lang w:val="en"/>
        </w:rPr>
        <w:footnoteReference w:id="17"/>
      </w:r>
    </w:p>
    <w:p w14:paraId="3DF4D847" w14:textId="211561ED" w:rsidR="007A78BC" w:rsidRPr="00CE2CA6" w:rsidRDefault="008261FD" w:rsidP="007A78BC">
      <w:pPr>
        <w:spacing w:after="240"/>
        <w:jc w:val="both"/>
        <w:rPr>
          <w:rFonts w:ascii="Arial" w:hAnsi="Arial" w:cs="Arial"/>
          <w:bCs/>
          <w:lang w:val="en"/>
        </w:rPr>
      </w:pPr>
      <w:r w:rsidRPr="00CE2CA6">
        <w:rPr>
          <w:rFonts w:ascii="Arial" w:hAnsi="Arial" w:cs="Arial"/>
          <w:bCs/>
          <w:lang w:val="en"/>
        </w:rPr>
        <w:t xml:space="preserve">Creating equal access to virtual and remote court proceedings may require </w:t>
      </w:r>
      <w:r w:rsidR="0023211E" w:rsidRPr="00CE2CA6">
        <w:rPr>
          <w:rFonts w:ascii="Arial" w:hAnsi="Arial" w:cs="Arial"/>
          <w:bCs/>
          <w:lang w:val="en"/>
        </w:rPr>
        <w:t>having both phone and internet options</w:t>
      </w:r>
      <w:r w:rsidR="00694CB0" w:rsidRPr="00CE2CA6">
        <w:rPr>
          <w:rFonts w:ascii="Arial" w:hAnsi="Arial" w:cs="Arial"/>
          <w:bCs/>
          <w:lang w:val="en"/>
        </w:rPr>
        <w:t xml:space="preserve"> for vir</w:t>
      </w:r>
      <w:r w:rsidR="009D5D62" w:rsidRPr="00CE2CA6">
        <w:rPr>
          <w:rFonts w:ascii="Arial" w:hAnsi="Arial" w:cs="Arial"/>
          <w:bCs/>
          <w:lang w:val="en"/>
        </w:rPr>
        <w:t>tual or remote court</w:t>
      </w:r>
      <w:r w:rsidR="004C7527" w:rsidRPr="00CE2CA6">
        <w:rPr>
          <w:rFonts w:ascii="Arial" w:hAnsi="Arial" w:cs="Arial"/>
          <w:bCs/>
          <w:lang w:val="en"/>
        </w:rPr>
        <w:t>,</w:t>
      </w:r>
      <w:r w:rsidRPr="00CE2CA6">
        <w:rPr>
          <w:rFonts w:ascii="Arial" w:hAnsi="Arial" w:cs="Arial"/>
          <w:bCs/>
          <w:lang w:val="en"/>
        </w:rPr>
        <w:t xml:space="preserve"> </w:t>
      </w:r>
      <w:r w:rsidR="00245082" w:rsidRPr="00CE2CA6">
        <w:rPr>
          <w:rFonts w:ascii="Arial" w:hAnsi="Arial" w:cs="Arial"/>
          <w:bCs/>
          <w:lang w:val="en"/>
        </w:rPr>
        <w:t>as well as</w:t>
      </w:r>
      <w:r w:rsidR="007A78BC" w:rsidRPr="00CE2CA6">
        <w:rPr>
          <w:rFonts w:ascii="Arial" w:hAnsi="Arial" w:cs="Arial"/>
          <w:bCs/>
          <w:lang w:val="en"/>
        </w:rPr>
        <w:t xml:space="preserve"> </w:t>
      </w:r>
      <w:r w:rsidRPr="00CE2CA6">
        <w:rPr>
          <w:rFonts w:ascii="Arial" w:hAnsi="Arial" w:cs="Arial"/>
          <w:bCs/>
          <w:lang w:val="en"/>
        </w:rPr>
        <w:t>establishing</w:t>
      </w:r>
      <w:r w:rsidR="007A78BC" w:rsidRPr="00CE2CA6">
        <w:rPr>
          <w:rFonts w:ascii="Arial" w:hAnsi="Arial" w:cs="Arial"/>
          <w:bCs/>
          <w:lang w:val="en"/>
        </w:rPr>
        <w:t xml:space="preserve"> free access points</w:t>
      </w:r>
      <w:r w:rsidRPr="00CE2CA6">
        <w:rPr>
          <w:rFonts w:ascii="Arial" w:hAnsi="Arial" w:cs="Arial"/>
          <w:bCs/>
          <w:lang w:val="en"/>
        </w:rPr>
        <w:t>, perhaps at social service organizations,</w:t>
      </w:r>
      <w:r w:rsidR="007A78BC" w:rsidRPr="00CE2CA6">
        <w:rPr>
          <w:rFonts w:ascii="Arial" w:hAnsi="Arial" w:cs="Arial"/>
          <w:bCs/>
          <w:lang w:val="en"/>
        </w:rPr>
        <w:t xml:space="preserve"> for individuals to attend </w:t>
      </w:r>
      <w:r w:rsidRPr="00CE2CA6">
        <w:rPr>
          <w:rFonts w:ascii="Arial" w:hAnsi="Arial" w:cs="Arial"/>
          <w:bCs/>
          <w:lang w:val="en"/>
        </w:rPr>
        <w:t xml:space="preserve">proceedings and </w:t>
      </w:r>
      <w:r w:rsidR="00EE6513" w:rsidRPr="00CE2CA6">
        <w:rPr>
          <w:rFonts w:ascii="Arial" w:hAnsi="Arial" w:cs="Arial"/>
          <w:bCs/>
          <w:lang w:val="en"/>
        </w:rPr>
        <w:t>obtain assistance</w:t>
      </w:r>
      <w:r w:rsidR="00A00FD6" w:rsidRPr="00CE2CA6">
        <w:rPr>
          <w:rFonts w:ascii="Arial" w:hAnsi="Arial" w:cs="Arial"/>
          <w:bCs/>
          <w:lang w:val="en"/>
        </w:rPr>
        <w:t>,</w:t>
      </w:r>
      <w:r w:rsidR="00EE6513" w:rsidRPr="00CE2CA6">
        <w:rPr>
          <w:rFonts w:ascii="Arial" w:hAnsi="Arial" w:cs="Arial"/>
          <w:bCs/>
          <w:lang w:val="en"/>
        </w:rPr>
        <w:t xml:space="preserve"> if needed</w:t>
      </w:r>
      <w:r w:rsidR="00A00FD6" w:rsidRPr="00CE2CA6">
        <w:rPr>
          <w:rFonts w:ascii="Arial" w:hAnsi="Arial" w:cs="Arial"/>
          <w:bCs/>
          <w:lang w:val="en"/>
        </w:rPr>
        <w:t>,</w:t>
      </w:r>
      <w:r w:rsidR="00EE6513" w:rsidRPr="00CE2CA6">
        <w:rPr>
          <w:rFonts w:ascii="Arial" w:hAnsi="Arial" w:cs="Arial"/>
          <w:bCs/>
          <w:lang w:val="en"/>
        </w:rPr>
        <w:t xml:space="preserve"> in how to participate.</w:t>
      </w:r>
      <w:r w:rsidRPr="00CE2CA6">
        <w:rPr>
          <w:rFonts w:ascii="Arial" w:hAnsi="Arial" w:cs="Arial"/>
          <w:bCs/>
          <w:lang w:val="en"/>
        </w:rPr>
        <w:t xml:space="preserve"> </w:t>
      </w:r>
      <w:r w:rsidR="00043C18" w:rsidRPr="00CE2CA6">
        <w:rPr>
          <w:rFonts w:ascii="Arial" w:hAnsi="Arial" w:cs="Arial"/>
          <w:bCs/>
          <w:lang w:val="en"/>
        </w:rPr>
        <w:t>What those options are and how they are established may differ by jurisdiction. P</w:t>
      </w:r>
      <w:r w:rsidR="001061D3" w:rsidRPr="00CE2CA6">
        <w:rPr>
          <w:rFonts w:ascii="Arial" w:hAnsi="Arial" w:cs="Arial"/>
          <w:bCs/>
          <w:lang w:val="en"/>
        </w:rPr>
        <w:t xml:space="preserve">articipants </w:t>
      </w:r>
      <w:r w:rsidR="00043C18" w:rsidRPr="00CE2CA6">
        <w:rPr>
          <w:rFonts w:ascii="Arial" w:hAnsi="Arial" w:cs="Arial"/>
          <w:bCs/>
          <w:lang w:val="en"/>
        </w:rPr>
        <w:t xml:space="preserve">should </w:t>
      </w:r>
      <w:r w:rsidR="00F84363" w:rsidRPr="00CE2CA6">
        <w:rPr>
          <w:rFonts w:ascii="Arial" w:hAnsi="Arial" w:cs="Arial"/>
          <w:bCs/>
          <w:lang w:val="en"/>
        </w:rPr>
        <w:t xml:space="preserve">be permitted to </w:t>
      </w:r>
      <w:r w:rsidR="001061D3" w:rsidRPr="00CE2CA6">
        <w:rPr>
          <w:rFonts w:ascii="Arial" w:hAnsi="Arial" w:cs="Arial"/>
          <w:bCs/>
          <w:lang w:val="en"/>
        </w:rPr>
        <w:t>choose the option that works best for them in consultation with their attorney</w:t>
      </w:r>
      <w:r w:rsidR="009D5D62" w:rsidRPr="00CE2CA6">
        <w:rPr>
          <w:rFonts w:ascii="Arial" w:hAnsi="Arial" w:cs="Arial"/>
          <w:bCs/>
          <w:lang w:val="en"/>
        </w:rPr>
        <w:t>,</w:t>
      </w:r>
      <w:r w:rsidR="001061D3" w:rsidRPr="00CE2CA6">
        <w:rPr>
          <w:rFonts w:ascii="Arial" w:hAnsi="Arial" w:cs="Arial"/>
          <w:bCs/>
          <w:lang w:val="en"/>
        </w:rPr>
        <w:t xml:space="preserve"> if represented. Participants should be given a choice for each hearing or proceeding, as circumstances may change. For example, a litigant might prefer a telephonic option from home for a set hearing, but if the hearing is part of a larger docket call, may prefer to go to a portal at a social service agency </w:t>
      </w:r>
      <w:r w:rsidR="00710F00">
        <w:rPr>
          <w:rFonts w:ascii="Arial" w:hAnsi="Arial" w:cs="Arial"/>
          <w:bCs/>
          <w:lang w:val="en"/>
        </w:rPr>
        <w:t>so as</w:t>
      </w:r>
      <w:r w:rsidR="001061D3" w:rsidRPr="00CE2CA6">
        <w:rPr>
          <w:rFonts w:ascii="Arial" w:hAnsi="Arial" w:cs="Arial"/>
          <w:bCs/>
          <w:lang w:val="en"/>
        </w:rPr>
        <w:t xml:space="preserve"> not </w:t>
      </w:r>
      <w:r w:rsidR="000F659E">
        <w:rPr>
          <w:rFonts w:ascii="Arial" w:hAnsi="Arial" w:cs="Arial"/>
          <w:bCs/>
          <w:lang w:val="en"/>
        </w:rPr>
        <w:t xml:space="preserve">to </w:t>
      </w:r>
      <w:r w:rsidR="001061D3" w:rsidRPr="00CE2CA6">
        <w:rPr>
          <w:rFonts w:ascii="Arial" w:hAnsi="Arial" w:cs="Arial"/>
          <w:bCs/>
          <w:lang w:val="en"/>
        </w:rPr>
        <w:t>waste prepaid minutes.</w:t>
      </w:r>
      <w:r w:rsidR="00C828C3" w:rsidRPr="00CE2CA6">
        <w:rPr>
          <w:rFonts w:ascii="Arial" w:hAnsi="Arial" w:cs="Arial"/>
          <w:bCs/>
          <w:lang w:val="en"/>
        </w:rPr>
        <w:t xml:space="preserve"> Flexibility </w:t>
      </w:r>
      <w:r w:rsidR="00692154" w:rsidRPr="00CE2CA6">
        <w:rPr>
          <w:rFonts w:ascii="Arial" w:hAnsi="Arial" w:cs="Arial"/>
          <w:bCs/>
          <w:lang w:val="en"/>
        </w:rPr>
        <w:t>is</w:t>
      </w:r>
      <w:r w:rsidR="00C828C3" w:rsidRPr="00CE2CA6">
        <w:rPr>
          <w:rFonts w:ascii="Arial" w:hAnsi="Arial" w:cs="Arial"/>
          <w:bCs/>
          <w:lang w:val="en"/>
        </w:rPr>
        <w:t xml:space="preserve"> </w:t>
      </w:r>
      <w:r w:rsidR="004728F1" w:rsidRPr="00CE2CA6">
        <w:rPr>
          <w:rFonts w:ascii="Arial" w:hAnsi="Arial" w:cs="Arial"/>
          <w:bCs/>
          <w:lang w:val="en"/>
        </w:rPr>
        <w:t>critical. T</w:t>
      </w:r>
      <w:r w:rsidR="00C828C3" w:rsidRPr="00CE2CA6">
        <w:rPr>
          <w:rFonts w:ascii="Arial" w:hAnsi="Arial" w:cs="Arial"/>
          <w:bCs/>
          <w:lang w:val="en"/>
        </w:rPr>
        <w:t xml:space="preserve">he COVID-19 pandemic </w:t>
      </w:r>
      <w:r w:rsidR="004728F1" w:rsidRPr="00CE2CA6">
        <w:rPr>
          <w:rFonts w:ascii="Arial" w:hAnsi="Arial" w:cs="Arial"/>
          <w:bCs/>
          <w:lang w:val="en"/>
        </w:rPr>
        <w:t xml:space="preserve">is </w:t>
      </w:r>
      <w:r w:rsidR="003E00E2" w:rsidRPr="00CE2CA6">
        <w:rPr>
          <w:rFonts w:ascii="Arial" w:hAnsi="Arial" w:cs="Arial"/>
          <w:bCs/>
          <w:lang w:val="en"/>
        </w:rPr>
        <w:t>likely</w:t>
      </w:r>
      <w:r w:rsidR="00C828C3" w:rsidRPr="00CE2CA6">
        <w:rPr>
          <w:rFonts w:ascii="Arial" w:hAnsi="Arial" w:cs="Arial"/>
          <w:bCs/>
          <w:lang w:val="en"/>
        </w:rPr>
        <w:t xml:space="preserve"> to create economic instability</w:t>
      </w:r>
      <w:r w:rsidR="004728F1" w:rsidRPr="00CE2CA6">
        <w:rPr>
          <w:rFonts w:ascii="Arial" w:hAnsi="Arial" w:cs="Arial"/>
          <w:bCs/>
          <w:lang w:val="en"/>
        </w:rPr>
        <w:t xml:space="preserve"> for the for</w:t>
      </w:r>
      <w:r w:rsidR="00B8427E" w:rsidRPr="00CE2CA6">
        <w:rPr>
          <w:rFonts w:ascii="Arial" w:hAnsi="Arial" w:cs="Arial"/>
          <w:bCs/>
          <w:lang w:val="en"/>
        </w:rPr>
        <w:t>e</w:t>
      </w:r>
      <w:r w:rsidR="004728F1" w:rsidRPr="00CE2CA6">
        <w:rPr>
          <w:rFonts w:ascii="Arial" w:hAnsi="Arial" w:cs="Arial"/>
          <w:bCs/>
          <w:lang w:val="en"/>
        </w:rPr>
        <w:t>seeable future,</w:t>
      </w:r>
      <w:r w:rsidR="00692154" w:rsidRPr="00CE2CA6">
        <w:rPr>
          <w:rFonts w:ascii="Arial" w:hAnsi="Arial" w:cs="Arial"/>
          <w:bCs/>
          <w:lang w:val="en"/>
        </w:rPr>
        <w:t xml:space="preserve"> and</w:t>
      </w:r>
      <w:r w:rsidR="004728F1" w:rsidRPr="00CE2CA6">
        <w:rPr>
          <w:rFonts w:ascii="Arial" w:hAnsi="Arial" w:cs="Arial"/>
          <w:bCs/>
          <w:lang w:val="en"/>
        </w:rPr>
        <w:t xml:space="preserve"> thus jurisdictions must assume</w:t>
      </w:r>
      <w:r w:rsidR="00B8427E" w:rsidRPr="00CE2CA6">
        <w:rPr>
          <w:rFonts w:ascii="Arial" w:hAnsi="Arial" w:cs="Arial"/>
          <w:bCs/>
          <w:lang w:val="en"/>
        </w:rPr>
        <w:t xml:space="preserve"> that </w:t>
      </w:r>
      <w:r w:rsidR="00692154" w:rsidRPr="00CE2CA6">
        <w:rPr>
          <w:rFonts w:ascii="Arial" w:hAnsi="Arial" w:cs="Arial"/>
          <w:bCs/>
          <w:lang w:val="en"/>
        </w:rPr>
        <w:t>circumstances for litigants</w:t>
      </w:r>
      <w:r w:rsidR="00B8427E" w:rsidRPr="00CE2CA6">
        <w:rPr>
          <w:rFonts w:ascii="Arial" w:hAnsi="Arial" w:cs="Arial"/>
          <w:bCs/>
          <w:lang w:val="en"/>
        </w:rPr>
        <w:t xml:space="preserve"> will also remain in flux</w:t>
      </w:r>
      <w:r w:rsidR="00692154" w:rsidRPr="00CE2CA6">
        <w:rPr>
          <w:rFonts w:ascii="Arial" w:hAnsi="Arial" w:cs="Arial"/>
          <w:bCs/>
          <w:lang w:val="en"/>
        </w:rPr>
        <w:t>.</w:t>
      </w:r>
      <w:r w:rsidR="00386717" w:rsidRPr="00CE2CA6">
        <w:rPr>
          <w:rStyle w:val="FootnoteReference"/>
          <w:rFonts w:ascii="Arial" w:hAnsi="Arial" w:cs="Arial"/>
          <w:bCs/>
          <w:lang w:val="en"/>
        </w:rPr>
        <w:footnoteReference w:id="18"/>
      </w:r>
    </w:p>
    <w:p w14:paraId="5F50A569" w14:textId="47FFDD00" w:rsidR="00967603" w:rsidRPr="00CE2CA6" w:rsidRDefault="00967603" w:rsidP="007A78BC">
      <w:pPr>
        <w:spacing w:after="240"/>
        <w:jc w:val="both"/>
        <w:rPr>
          <w:rFonts w:ascii="Arial" w:hAnsi="Arial" w:cs="Arial"/>
          <w:bCs/>
          <w:lang w:val="en"/>
        </w:rPr>
      </w:pPr>
      <w:r w:rsidRPr="00CE2CA6">
        <w:rPr>
          <w:rFonts w:ascii="Arial" w:hAnsi="Arial" w:cs="Arial"/>
          <w:bCs/>
          <w:lang w:val="en"/>
        </w:rPr>
        <w:t xml:space="preserve">When considering access, it is not merely participation that must be considered, but also distribution of necessary orders and other paperwork. </w:t>
      </w:r>
      <w:r w:rsidR="00A9135B" w:rsidRPr="00CE2CA6">
        <w:rPr>
          <w:rFonts w:ascii="Arial" w:hAnsi="Arial" w:cs="Arial"/>
          <w:bCs/>
          <w:lang w:val="en"/>
        </w:rPr>
        <w:t xml:space="preserve">Zoom and other meeting based </w:t>
      </w:r>
      <w:r w:rsidR="00C22ABB" w:rsidRPr="00CE2CA6">
        <w:rPr>
          <w:rFonts w:ascii="Arial" w:hAnsi="Arial" w:cs="Arial"/>
          <w:bCs/>
          <w:lang w:val="en"/>
        </w:rPr>
        <w:t xml:space="preserve">platforms do not </w:t>
      </w:r>
      <w:r w:rsidR="008A020D" w:rsidRPr="00CE2CA6">
        <w:rPr>
          <w:rFonts w:ascii="Arial" w:hAnsi="Arial" w:cs="Arial"/>
          <w:bCs/>
          <w:lang w:val="en"/>
        </w:rPr>
        <w:t xml:space="preserve">easily </w:t>
      </w:r>
      <w:r w:rsidR="00C22ABB" w:rsidRPr="00CE2CA6">
        <w:rPr>
          <w:rFonts w:ascii="Arial" w:hAnsi="Arial" w:cs="Arial"/>
          <w:bCs/>
          <w:lang w:val="en"/>
        </w:rPr>
        <w:t>allow someone to upload a document to participants, and yet the contemporaneous sharing o</w:t>
      </w:r>
      <w:r w:rsidR="006D4347" w:rsidRPr="00CE2CA6">
        <w:rPr>
          <w:rFonts w:ascii="Arial" w:hAnsi="Arial" w:cs="Arial"/>
          <w:bCs/>
          <w:lang w:val="en"/>
        </w:rPr>
        <w:t>f</w:t>
      </w:r>
      <w:r w:rsidR="00C22ABB" w:rsidRPr="00CE2CA6">
        <w:rPr>
          <w:rFonts w:ascii="Arial" w:hAnsi="Arial" w:cs="Arial"/>
          <w:bCs/>
          <w:lang w:val="en"/>
        </w:rPr>
        <w:t xml:space="preserve"> written agreements</w:t>
      </w:r>
      <w:r w:rsidR="006D4347" w:rsidRPr="00CE2CA6">
        <w:rPr>
          <w:rFonts w:ascii="Arial" w:hAnsi="Arial" w:cs="Arial"/>
          <w:bCs/>
          <w:lang w:val="en"/>
        </w:rPr>
        <w:t>, orders, and other documents</w:t>
      </w:r>
      <w:r w:rsidR="00C22ABB" w:rsidRPr="00CE2CA6">
        <w:rPr>
          <w:rFonts w:ascii="Arial" w:hAnsi="Arial" w:cs="Arial"/>
          <w:bCs/>
          <w:lang w:val="en"/>
        </w:rPr>
        <w:t xml:space="preserve"> can be critical to ensuring that everyone in attendance at a hearing leaves with the same understanding of what has </w:t>
      </w:r>
      <w:r w:rsidR="00D52A07" w:rsidRPr="00CE2CA6">
        <w:rPr>
          <w:rFonts w:ascii="Arial" w:hAnsi="Arial" w:cs="Arial"/>
          <w:bCs/>
          <w:lang w:val="en"/>
        </w:rPr>
        <w:t>be</w:t>
      </w:r>
      <w:r w:rsidR="000F659E">
        <w:rPr>
          <w:rFonts w:ascii="Arial" w:hAnsi="Arial" w:cs="Arial"/>
          <w:bCs/>
          <w:lang w:val="en"/>
        </w:rPr>
        <w:t>en</w:t>
      </w:r>
      <w:r w:rsidR="00D52A07" w:rsidRPr="00CE2CA6">
        <w:rPr>
          <w:rFonts w:ascii="Arial" w:hAnsi="Arial" w:cs="Arial"/>
          <w:bCs/>
          <w:lang w:val="en"/>
        </w:rPr>
        <w:t xml:space="preserve"> agreed</w:t>
      </w:r>
      <w:r w:rsidR="00CD1DD5" w:rsidRPr="00CE2CA6">
        <w:rPr>
          <w:rFonts w:ascii="Arial" w:hAnsi="Arial" w:cs="Arial"/>
          <w:bCs/>
          <w:lang w:val="en"/>
        </w:rPr>
        <w:t xml:space="preserve"> to</w:t>
      </w:r>
      <w:r w:rsidR="00D52A07" w:rsidRPr="00CE2CA6">
        <w:rPr>
          <w:rFonts w:ascii="Arial" w:hAnsi="Arial" w:cs="Arial"/>
          <w:bCs/>
          <w:lang w:val="en"/>
        </w:rPr>
        <w:t xml:space="preserve"> or ordered. Many courts are using a secondary platform, such as</w:t>
      </w:r>
      <w:r w:rsidRPr="00CE2CA6">
        <w:rPr>
          <w:rFonts w:ascii="Arial" w:hAnsi="Arial" w:cs="Arial"/>
          <w:bCs/>
          <w:lang w:val="en"/>
        </w:rPr>
        <w:t xml:space="preserve"> </w:t>
      </w:r>
      <w:r w:rsidR="007626E5" w:rsidRPr="00CE2CA6">
        <w:rPr>
          <w:rFonts w:ascii="Arial" w:hAnsi="Arial" w:cs="Arial"/>
          <w:bCs/>
          <w:lang w:val="en"/>
        </w:rPr>
        <w:t>Dropbox</w:t>
      </w:r>
      <w:r w:rsidR="009002C1" w:rsidRPr="00CE2CA6">
        <w:rPr>
          <w:rFonts w:ascii="Arial" w:hAnsi="Arial" w:cs="Arial"/>
          <w:bCs/>
          <w:lang w:val="en"/>
        </w:rPr>
        <w:t xml:space="preserve"> or a court-specific portal</w:t>
      </w:r>
      <w:r w:rsidR="007626E5" w:rsidRPr="00CE2CA6">
        <w:rPr>
          <w:rFonts w:ascii="Arial" w:hAnsi="Arial" w:cs="Arial"/>
          <w:bCs/>
          <w:lang w:val="en"/>
        </w:rPr>
        <w:t>, to exchange or distribute documents, but this adds a layer of complexity</w:t>
      </w:r>
      <w:r w:rsidR="00E7548A" w:rsidRPr="00CE2CA6">
        <w:rPr>
          <w:rFonts w:ascii="Arial" w:hAnsi="Arial" w:cs="Arial"/>
          <w:bCs/>
          <w:lang w:val="en"/>
        </w:rPr>
        <w:t xml:space="preserve">. </w:t>
      </w:r>
      <w:r w:rsidR="00F90D97" w:rsidRPr="00CE2CA6">
        <w:rPr>
          <w:rFonts w:ascii="Arial" w:hAnsi="Arial" w:cs="Arial"/>
          <w:bCs/>
          <w:lang w:val="en"/>
        </w:rPr>
        <w:t>Participants should similarly be given options</w:t>
      </w:r>
      <w:r w:rsidR="00513195" w:rsidRPr="00CE2CA6">
        <w:rPr>
          <w:rFonts w:ascii="Arial" w:hAnsi="Arial" w:cs="Arial"/>
          <w:bCs/>
          <w:lang w:val="en"/>
        </w:rPr>
        <w:t xml:space="preserve"> with regard to how to receive documents and be able to select the options that work best for </w:t>
      </w:r>
      <w:r w:rsidR="002602D7" w:rsidRPr="00CE2CA6">
        <w:rPr>
          <w:rFonts w:ascii="Arial" w:hAnsi="Arial" w:cs="Arial"/>
          <w:bCs/>
          <w:lang w:val="en"/>
        </w:rPr>
        <w:t xml:space="preserve">them. </w:t>
      </w:r>
      <w:r w:rsidR="00AE5746" w:rsidRPr="00CE2CA6">
        <w:rPr>
          <w:rFonts w:ascii="Arial" w:hAnsi="Arial" w:cs="Arial"/>
          <w:bCs/>
          <w:lang w:val="en"/>
        </w:rPr>
        <w:t xml:space="preserve">In addition to documents, </w:t>
      </w:r>
      <w:r w:rsidR="009002C1" w:rsidRPr="00CE2CA6">
        <w:rPr>
          <w:rFonts w:ascii="Arial" w:hAnsi="Arial" w:cs="Arial"/>
          <w:bCs/>
          <w:lang w:val="en"/>
        </w:rPr>
        <w:t>the process for distributing notices should be confirmed regularly</w:t>
      </w:r>
      <w:r w:rsidR="002602D7" w:rsidRPr="00CE2CA6">
        <w:rPr>
          <w:rFonts w:ascii="Arial" w:hAnsi="Arial" w:cs="Arial"/>
          <w:bCs/>
          <w:lang w:val="en"/>
        </w:rPr>
        <w:t>, and where feasible, duplicative options should be used to account for potential changes in circumstances and uncertainty.</w:t>
      </w:r>
    </w:p>
    <w:p w14:paraId="7893DB6B" w14:textId="22FA5D1A" w:rsidR="00EB2A87" w:rsidRPr="00CE2CA6" w:rsidRDefault="00EB2A87" w:rsidP="007A78BC">
      <w:pPr>
        <w:spacing w:after="240"/>
        <w:jc w:val="both"/>
        <w:rPr>
          <w:rFonts w:ascii="Arial" w:hAnsi="Arial" w:cs="Arial"/>
          <w:bCs/>
          <w:i/>
          <w:iCs/>
          <w:lang w:val="en"/>
        </w:rPr>
      </w:pPr>
      <w:r w:rsidRPr="00CE2CA6">
        <w:rPr>
          <w:rFonts w:ascii="Arial" w:hAnsi="Arial" w:cs="Arial"/>
          <w:bCs/>
          <w:i/>
          <w:iCs/>
          <w:lang w:val="en"/>
        </w:rPr>
        <w:t>Attorney-Client Relationship</w:t>
      </w:r>
      <w:r w:rsidR="003675DA" w:rsidRPr="00CE2CA6">
        <w:rPr>
          <w:rFonts w:ascii="Arial" w:hAnsi="Arial" w:cs="Arial"/>
          <w:bCs/>
          <w:i/>
          <w:iCs/>
          <w:lang w:val="en"/>
        </w:rPr>
        <w:t>s</w:t>
      </w:r>
    </w:p>
    <w:p w14:paraId="6104D90B" w14:textId="108553B5" w:rsidR="00754E83" w:rsidRPr="00CE2CA6" w:rsidRDefault="00EB2A87" w:rsidP="007A78BC">
      <w:pPr>
        <w:spacing w:after="240"/>
        <w:jc w:val="both"/>
        <w:rPr>
          <w:rFonts w:ascii="Arial" w:hAnsi="Arial" w:cs="Arial"/>
          <w:bCs/>
          <w:lang w:val="en"/>
        </w:rPr>
      </w:pPr>
      <w:r w:rsidRPr="00CE2CA6">
        <w:rPr>
          <w:rFonts w:ascii="Arial" w:hAnsi="Arial" w:cs="Arial"/>
          <w:bCs/>
          <w:lang w:val="en"/>
        </w:rPr>
        <w:t xml:space="preserve">In establishing or reviewing virtual or remote court procedures, special attention should be paid to effectuating the attorney-client relationship. At in-person court proceedings, </w:t>
      </w:r>
      <w:r w:rsidR="00C0086F" w:rsidRPr="00CE2CA6">
        <w:rPr>
          <w:rFonts w:ascii="Arial" w:hAnsi="Arial" w:cs="Arial"/>
          <w:bCs/>
          <w:lang w:val="en"/>
        </w:rPr>
        <w:t xml:space="preserve">attorneys typically meet with the client immediately prior to the proceeding, often near the courtroom, to address last minute considerations. If a client has a question or concern during the court proceeding, the client can consult with the attorney at counsel table or, if necessary, </w:t>
      </w:r>
      <w:r w:rsidR="00FD24C0" w:rsidRPr="00CE2CA6">
        <w:rPr>
          <w:rFonts w:ascii="Arial" w:hAnsi="Arial" w:cs="Arial"/>
          <w:bCs/>
          <w:lang w:val="en"/>
        </w:rPr>
        <w:t>request a brief recess for a more private and thorough consultation. Replicating this level of communication and consultation in virtual or remote court proceedings is difficult</w:t>
      </w:r>
      <w:r w:rsidR="000C3A22" w:rsidRPr="00CE2CA6">
        <w:rPr>
          <w:rFonts w:ascii="Arial" w:hAnsi="Arial" w:cs="Arial"/>
          <w:bCs/>
          <w:lang w:val="en"/>
        </w:rPr>
        <w:t>. Every</w:t>
      </w:r>
      <w:r w:rsidR="00FD24C0" w:rsidRPr="00CE2CA6">
        <w:rPr>
          <w:rFonts w:ascii="Arial" w:hAnsi="Arial" w:cs="Arial"/>
          <w:bCs/>
          <w:lang w:val="en"/>
        </w:rPr>
        <w:t xml:space="preserve"> </w:t>
      </w:r>
      <w:r w:rsidR="00DF3FCF" w:rsidRPr="00CE2CA6">
        <w:rPr>
          <w:rFonts w:ascii="Arial" w:hAnsi="Arial" w:cs="Arial"/>
          <w:bCs/>
          <w:lang w:val="en"/>
        </w:rPr>
        <w:t xml:space="preserve">possible effort should be made </w:t>
      </w:r>
      <w:r w:rsidR="001313B0" w:rsidRPr="00CE2CA6">
        <w:rPr>
          <w:rFonts w:ascii="Arial" w:hAnsi="Arial" w:cs="Arial"/>
          <w:bCs/>
          <w:lang w:val="en"/>
        </w:rPr>
        <w:t>to do so</w:t>
      </w:r>
      <w:r w:rsidR="000C3A22" w:rsidRPr="00CE2CA6">
        <w:rPr>
          <w:rFonts w:ascii="Arial" w:hAnsi="Arial" w:cs="Arial"/>
          <w:bCs/>
          <w:lang w:val="en"/>
        </w:rPr>
        <w:t>, and</w:t>
      </w:r>
      <w:r w:rsidR="007A2C14" w:rsidRPr="00CE2CA6">
        <w:rPr>
          <w:rFonts w:ascii="Arial" w:hAnsi="Arial" w:cs="Arial"/>
          <w:bCs/>
          <w:lang w:val="en"/>
        </w:rPr>
        <w:t xml:space="preserve"> particular attention should be paid to providing support and assistance for vulnerable litigants, such as children.</w:t>
      </w:r>
    </w:p>
    <w:p w14:paraId="30078548" w14:textId="49CB8E0D" w:rsidR="00A76312" w:rsidRPr="00CE2CA6" w:rsidRDefault="00103D23" w:rsidP="007A78BC">
      <w:pPr>
        <w:spacing w:after="240"/>
        <w:jc w:val="both"/>
        <w:rPr>
          <w:rFonts w:ascii="Arial" w:hAnsi="Arial" w:cs="Arial"/>
          <w:bCs/>
          <w:lang w:val="en"/>
        </w:rPr>
      </w:pPr>
      <w:r w:rsidRPr="00CE2CA6">
        <w:rPr>
          <w:rFonts w:ascii="Arial" w:hAnsi="Arial" w:cs="Arial"/>
          <w:bCs/>
          <w:lang w:val="en"/>
        </w:rPr>
        <w:t xml:space="preserve">Courts have attempted to </w:t>
      </w:r>
      <w:r w:rsidR="007F2D28" w:rsidRPr="00CE2CA6">
        <w:rPr>
          <w:rFonts w:ascii="Arial" w:hAnsi="Arial" w:cs="Arial"/>
          <w:bCs/>
          <w:lang w:val="en"/>
        </w:rPr>
        <w:t>ensure full attorney-client communication</w:t>
      </w:r>
      <w:r w:rsidR="00753182" w:rsidRPr="00CE2CA6">
        <w:rPr>
          <w:rFonts w:ascii="Arial" w:hAnsi="Arial" w:cs="Arial"/>
          <w:bCs/>
          <w:lang w:val="en"/>
        </w:rPr>
        <w:t xml:space="preserve"> during virtual or remote court proceedings, but often these efforts are complicated by </w:t>
      </w:r>
      <w:r w:rsidR="008B5C46" w:rsidRPr="00CE2CA6">
        <w:rPr>
          <w:rFonts w:ascii="Arial" w:hAnsi="Arial" w:cs="Arial"/>
          <w:bCs/>
          <w:lang w:val="en"/>
        </w:rPr>
        <w:t xml:space="preserve">the same issues of technical </w:t>
      </w:r>
      <w:r w:rsidR="001313B0" w:rsidRPr="00CE2CA6">
        <w:rPr>
          <w:rFonts w:ascii="Arial" w:hAnsi="Arial" w:cs="Arial"/>
          <w:bCs/>
          <w:lang w:val="en"/>
        </w:rPr>
        <w:t>experience</w:t>
      </w:r>
      <w:r w:rsidR="008B5C46" w:rsidRPr="00CE2CA6">
        <w:rPr>
          <w:rFonts w:ascii="Arial" w:hAnsi="Arial" w:cs="Arial"/>
          <w:bCs/>
          <w:lang w:val="en"/>
        </w:rPr>
        <w:t xml:space="preserve"> and access</w:t>
      </w:r>
      <w:r w:rsidR="00222632" w:rsidRPr="00CE2CA6">
        <w:rPr>
          <w:rFonts w:ascii="Arial" w:hAnsi="Arial" w:cs="Arial"/>
          <w:bCs/>
          <w:lang w:val="en"/>
        </w:rPr>
        <w:t xml:space="preserve"> addressed above.</w:t>
      </w:r>
      <w:r w:rsidR="008B5C46" w:rsidRPr="00CE2CA6">
        <w:rPr>
          <w:rFonts w:ascii="Arial" w:hAnsi="Arial" w:cs="Arial"/>
          <w:bCs/>
          <w:lang w:val="en"/>
        </w:rPr>
        <w:t xml:space="preserve"> </w:t>
      </w:r>
      <w:r w:rsidR="00222632" w:rsidRPr="00CE2CA6">
        <w:rPr>
          <w:rFonts w:ascii="Arial" w:hAnsi="Arial" w:cs="Arial"/>
          <w:bCs/>
          <w:lang w:val="en"/>
        </w:rPr>
        <w:t>Texas</w:t>
      </w:r>
      <w:r w:rsidR="00457023" w:rsidRPr="00CE2CA6">
        <w:rPr>
          <w:rFonts w:ascii="Arial" w:hAnsi="Arial" w:cs="Arial"/>
          <w:bCs/>
          <w:lang w:val="en"/>
        </w:rPr>
        <w:t xml:space="preserve"> courts</w:t>
      </w:r>
      <w:r w:rsidR="00222632" w:rsidRPr="00CE2CA6">
        <w:rPr>
          <w:rFonts w:ascii="Arial" w:hAnsi="Arial" w:cs="Arial"/>
          <w:bCs/>
          <w:lang w:val="en"/>
        </w:rPr>
        <w:t>, which use Zoom for most court hearings, encourage the use of breakout rooms for attorney-client communications</w:t>
      </w:r>
      <w:r w:rsidR="00E74CD1" w:rsidRPr="00CE2CA6">
        <w:rPr>
          <w:rFonts w:ascii="Arial" w:hAnsi="Arial" w:cs="Arial"/>
          <w:bCs/>
          <w:lang w:val="en"/>
        </w:rPr>
        <w:t>.</w:t>
      </w:r>
      <w:r w:rsidR="005206E8" w:rsidRPr="00CE2CA6">
        <w:rPr>
          <w:rFonts w:ascii="Arial" w:hAnsi="Arial" w:cs="Arial"/>
          <w:bCs/>
          <w:lang w:val="en"/>
        </w:rPr>
        <w:t xml:space="preserve"> </w:t>
      </w:r>
      <w:r w:rsidR="00CB65FD" w:rsidRPr="00CE2CA6">
        <w:rPr>
          <w:rFonts w:ascii="Arial" w:hAnsi="Arial" w:cs="Arial"/>
          <w:bCs/>
          <w:lang w:val="en"/>
        </w:rPr>
        <w:t>Observing</w:t>
      </w:r>
      <w:r w:rsidR="00222632" w:rsidRPr="00CE2CA6">
        <w:rPr>
          <w:rFonts w:ascii="Arial" w:hAnsi="Arial" w:cs="Arial"/>
          <w:bCs/>
          <w:lang w:val="en"/>
        </w:rPr>
        <w:t xml:space="preserve"> these hearings, however, it </w:t>
      </w:r>
      <w:r w:rsidR="00CB65FD" w:rsidRPr="00CE2CA6">
        <w:rPr>
          <w:rFonts w:ascii="Arial" w:hAnsi="Arial" w:cs="Arial"/>
          <w:bCs/>
          <w:lang w:val="en"/>
        </w:rPr>
        <w:t>was</w:t>
      </w:r>
      <w:r w:rsidR="00222632" w:rsidRPr="00CE2CA6">
        <w:rPr>
          <w:rFonts w:ascii="Arial" w:hAnsi="Arial" w:cs="Arial"/>
          <w:bCs/>
          <w:lang w:val="en"/>
        </w:rPr>
        <w:t xml:space="preserve"> common to see </w:t>
      </w:r>
      <w:r w:rsidR="00807A29" w:rsidRPr="00CE2CA6">
        <w:rPr>
          <w:rFonts w:ascii="Arial" w:hAnsi="Arial" w:cs="Arial"/>
          <w:bCs/>
          <w:lang w:val="en"/>
        </w:rPr>
        <w:t xml:space="preserve">judges disconnect participants instead of relocating them to breakout rooms and/or </w:t>
      </w:r>
      <w:r w:rsidR="00B561F8" w:rsidRPr="00CE2CA6">
        <w:rPr>
          <w:rFonts w:ascii="Arial" w:hAnsi="Arial" w:cs="Arial"/>
          <w:bCs/>
          <w:lang w:val="en"/>
        </w:rPr>
        <w:t xml:space="preserve">to </w:t>
      </w:r>
      <w:r w:rsidR="00C42CB0">
        <w:rPr>
          <w:rFonts w:ascii="Arial" w:hAnsi="Arial" w:cs="Arial"/>
          <w:bCs/>
          <w:lang w:val="en"/>
        </w:rPr>
        <w:t xml:space="preserve">see </w:t>
      </w:r>
      <w:r w:rsidR="00B561F8" w:rsidRPr="00CE2CA6">
        <w:rPr>
          <w:rFonts w:ascii="Arial" w:hAnsi="Arial" w:cs="Arial"/>
          <w:bCs/>
          <w:lang w:val="en"/>
        </w:rPr>
        <w:t xml:space="preserve">witness </w:t>
      </w:r>
      <w:r w:rsidR="00807A29" w:rsidRPr="00CE2CA6">
        <w:rPr>
          <w:rFonts w:ascii="Arial" w:hAnsi="Arial" w:cs="Arial"/>
          <w:bCs/>
          <w:lang w:val="en"/>
        </w:rPr>
        <w:t>participants erroneously decline invitations to breakout rooms</w:t>
      </w:r>
      <w:r w:rsidR="00E74CD1" w:rsidRPr="00CE2CA6">
        <w:rPr>
          <w:rFonts w:ascii="Arial" w:hAnsi="Arial" w:cs="Arial"/>
          <w:bCs/>
          <w:lang w:val="en"/>
        </w:rPr>
        <w:t xml:space="preserve"> and then cannot easily be invited again</w:t>
      </w:r>
      <w:r w:rsidR="00DA3AF7" w:rsidRPr="00CE2CA6">
        <w:rPr>
          <w:rFonts w:ascii="Arial" w:hAnsi="Arial" w:cs="Arial"/>
          <w:bCs/>
          <w:lang w:val="en"/>
        </w:rPr>
        <w:t>.</w:t>
      </w:r>
      <w:r w:rsidR="00E74CD1" w:rsidRPr="00CE2CA6">
        <w:rPr>
          <w:rFonts w:ascii="Arial" w:hAnsi="Arial" w:cs="Arial"/>
          <w:bCs/>
          <w:lang w:val="en"/>
        </w:rPr>
        <w:t xml:space="preserve"> </w:t>
      </w:r>
      <w:r w:rsidR="00C51506" w:rsidRPr="00CE2CA6">
        <w:rPr>
          <w:rFonts w:ascii="Arial" w:hAnsi="Arial" w:cs="Arial"/>
          <w:bCs/>
          <w:lang w:val="en"/>
        </w:rPr>
        <w:t xml:space="preserve">In one instance, an attorney suggested that the other participants, including the judge, prosecutor, and </w:t>
      </w:r>
      <w:r w:rsidR="005E0842" w:rsidRPr="00CE2CA6">
        <w:rPr>
          <w:rFonts w:ascii="Arial" w:hAnsi="Arial" w:cs="Arial"/>
          <w:bCs/>
          <w:lang w:val="en"/>
        </w:rPr>
        <w:t>court personnel, simply mute themselves during her conference with her client, either not realizing or not caring that this would still permit them</w:t>
      </w:r>
      <w:r w:rsidR="00F355EB">
        <w:rPr>
          <w:rFonts w:ascii="Arial" w:hAnsi="Arial" w:cs="Arial"/>
          <w:bCs/>
          <w:lang w:val="en"/>
        </w:rPr>
        <w:t>,</w:t>
      </w:r>
      <w:r w:rsidR="005E0842" w:rsidRPr="00CE2CA6">
        <w:rPr>
          <w:rFonts w:ascii="Arial" w:hAnsi="Arial" w:cs="Arial"/>
          <w:bCs/>
          <w:lang w:val="en"/>
        </w:rPr>
        <w:t xml:space="preserve"> and the online observers</w:t>
      </w:r>
      <w:r w:rsidR="00F355EB">
        <w:rPr>
          <w:rFonts w:ascii="Arial" w:hAnsi="Arial" w:cs="Arial"/>
          <w:bCs/>
          <w:lang w:val="en"/>
        </w:rPr>
        <w:t>,</w:t>
      </w:r>
      <w:r w:rsidR="005E0842" w:rsidRPr="00CE2CA6">
        <w:rPr>
          <w:rFonts w:ascii="Arial" w:hAnsi="Arial" w:cs="Arial"/>
          <w:bCs/>
          <w:lang w:val="en"/>
        </w:rPr>
        <w:t xml:space="preserve"> to hear that conference. </w:t>
      </w:r>
      <w:r w:rsidR="00E74CD1" w:rsidRPr="00CE2CA6">
        <w:rPr>
          <w:rFonts w:ascii="Arial" w:hAnsi="Arial" w:cs="Arial"/>
          <w:bCs/>
          <w:lang w:val="en"/>
        </w:rPr>
        <w:t xml:space="preserve">During </w:t>
      </w:r>
      <w:r w:rsidR="001F4731" w:rsidRPr="00CE2CA6">
        <w:rPr>
          <w:rFonts w:ascii="Arial" w:hAnsi="Arial" w:cs="Arial"/>
          <w:bCs/>
          <w:lang w:val="en"/>
        </w:rPr>
        <w:t>some criminal hearing</w:t>
      </w:r>
      <w:r w:rsidR="00AF2138" w:rsidRPr="00CE2CA6">
        <w:rPr>
          <w:rFonts w:ascii="Arial" w:hAnsi="Arial" w:cs="Arial"/>
          <w:bCs/>
          <w:lang w:val="en"/>
        </w:rPr>
        <w:t>s</w:t>
      </w:r>
      <w:r w:rsidR="001F4731" w:rsidRPr="00CE2CA6">
        <w:rPr>
          <w:rFonts w:ascii="Arial" w:hAnsi="Arial" w:cs="Arial"/>
          <w:bCs/>
          <w:lang w:val="en"/>
        </w:rPr>
        <w:t xml:space="preserve"> involving in-custody defendants, the deputy at the jail kept declining rather than accepting invitations to breakout rooms</w:t>
      </w:r>
      <w:r w:rsidR="006B58E6" w:rsidRPr="00CE2CA6">
        <w:rPr>
          <w:rFonts w:ascii="Arial" w:hAnsi="Arial" w:cs="Arial"/>
          <w:bCs/>
          <w:lang w:val="en"/>
        </w:rPr>
        <w:t>, making it impossible for in-custody defendants to confer with their attorneys</w:t>
      </w:r>
      <w:r w:rsidR="001F4731" w:rsidRPr="00CE2CA6">
        <w:rPr>
          <w:rFonts w:ascii="Arial" w:hAnsi="Arial" w:cs="Arial"/>
          <w:bCs/>
          <w:lang w:val="en"/>
        </w:rPr>
        <w:t xml:space="preserve">. </w:t>
      </w:r>
      <w:r w:rsidR="00174C92" w:rsidRPr="00CE2CA6">
        <w:rPr>
          <w:rFonts w:ascii="Arial" w:hAnsi="Arial" w:cs="Arial"/>
          <w:bCs/>
          <w:lang w:val="en"/>
        </w:rPr>
        <w:t xml:space="preserve">While we can expect judges, attorneys and </w:t>
      </w:r>
      <w:r w:rsidR="00A76312" w:rsidRPr="00CE2CA6">
        <w:rPr>
          <w:rFonts w:ascii="Arial" w:hAnsi="Arial" w:cs="Arial"/>
          <w:bCs/>
          <w:lang w:val="en"/>
        </w:rPr>
        <w:t xml:space="preserve">jail personnel to improve in their use of this technology, </w:t>
      </w:r>
      <w:r w:rsidR="002D55D0">
        <w:rPr>
          <w:rFonts w:ascii="Arial" w:hAnsi="Arial" w:cs="Arial"/>
          <w:bCs/>
          <w:lang w:val="en"/>
        </w:rPr>
        <w:t>in</w:t>
      </w:r>
      <w:r w:rsidR="00A76312" w:rsidRPr="00CE2CA6">
        <w:rPr>
          <w:rFonts w:ascii="Arial" w:hAnsi="Arial" w:cs="Arial"/>
          <w:bCs/>
          <w:lang w:val="en"/>
        </w:rPr>
        <w:t xml:space="preserve"> each case, it is often a new experience for litigants, meaning that problems with technology and various work arounds and alternative options will continue to be necessary. </w:t>
      </w:r>
    </w:p>
    <w:p w14:paraId="0E520413" w14:textId="72FA0337" w:rsidR="001F4731" w:rsidRPr="00CE2CA6" w:rsidRDefault="001F4731" w:rsidP="007A78BC">
      <w:pPr>
        <w:spacing w:after="240"/>
        <w:jc w:val="both"/>
        <w:rPr>
          <w:rFonts w:ascii="Arial" w:hAnsi="Arial" w:cs="Arial"/>
          <w:bCs/>
          <w:lang w:val="en"/>
        </w:rPr>
      </w:pPr>
      <w:r w:rsidRPr="00CE2CA6">
        <w:rPr>
          <w:rFonts w:ascii="Arial" w:hAnsi="Arial" w:cs="Arial"/>
          <w:bCs/>
          <w:lang w:val="en"/>
        </w:rPr>
        <w:t>Perhaps more importantly,</w:t>
      </w:r>
      <w:r w:rsidR="005206E8" w:rsidRPr="00CE2CA6">
        <w:rPr>
          <w:rFonts w:ascii="Arial" w:hAnsi="Arial" w:cs="Arial"/>
          <w:bCs/>
          <w:lang w:val="en"/>
        </w:rPr>
        <w:t xml:space="preserve"> </w:t>
      </w:r>
      <w:r w:rsidRPr="00CE2CA6">
        <w:rPr>
          <w:rFonts w:ascii="Arial" w:hAnsi="Arial" w:cs="Arial"/>
          <w:bCs/>
          <w:lang w:val="en"/>
        </w:rPr>
        <w:t>for in-custody defendants, the breakout room mechanism creates privacy from the judge, prosecutor</w:t>
      </w:r>
      <w:r w:rsidR="00502939">
        <w:rPr>
          <w:rFonts w:ascii="Arial" w:hAnsi="Arial" w:cs="Arial"/>
          <w:bCs/>
          <w:lang w:val="en"/>
        </w:rPr>
        <w:t>,</w:t>
      </w:r>
      <w:r w:rsidRPr="00CE2CA6">
        <w:rPr>
          <w:rFonts w:ascii="Arial" w:hAnsi="Arial" w:cs="Arial"/>
          <w:bCs/>
          <w:lang w:val="en"/>
        </w:rPr>
        <w:t xml:space="preserve"> and </w:t>
      </w:r>
      <w:r w:rsidR="00C51506" w:rsidRPr="00CE2CA6">
        <w:rPr>
          <w:rFonts w:ascii="Arial" w:hAnsi="Arial" w:cs="Arial"/>
          <w:bCs/>
          <w:lang w:val="en"/>
        </w:rPr>
        <w:t xml:space="preserve">on-line </w:t>
      </w:r>
      <w:r w:rsidR="00C6504A" w:rsidRPr="00CE2CA6">
        <w:rPr>
          <w:rFonts w:ascii="Arial" w:hAnsi="Arial" w:cs="Arial"/>
          <w:bCs/>
          <w:lang w:val="en"/>
        </w:rPr>
        <w:t>observers, but d</w:t>
      </w:r>
      <w:r w:rsidR="001C0EA8">
        <w:rPr>
          <w:rFonts w:ascii="Arial" w:hAnsi="Arial" w:cs="Arial"/>
          <w:bCs/>
          <w:lang w:val="en"/>
        </w:rPr>
        <w:t>oes</w:t>
      </w:r>
      <w:r w:rsidR="00C6504A" w:rsidRPr="00CE2CA6">
        <w:rPr>
          <w:rFonts w:ascii="Arial" w:hAnsi="Arial" w:cs="Arial"/>
          <w:bCs/>
          <w:lang w:val="en"/>
        </w:rPr>
        <w:t xml:space="preserve"> not create privacy from the multiple deputies and other personnel in the hearing room at the jail.</w:t>
      </w:r>
      <w:r w:rsidR="00A7513E" w:rsidRPr="00CE2CA6">
        <w:rPr>
          <w:rFonts w:ascii="Arial" w:hAnsi="Arial" w:cs="Arial"/>
          <w:bCs/>
          <w:lang w:val="en"/>
        </w:rPr>
        <w:t xml:space="preserve"> </w:t>
      </w:r>
      <w:r w:rsidR="00323B45" w:rsidRPr="00CE2CA6">
        <w:rPr>
          <w:rFonts w:ascii="Arial" w:hAnsi="Arial" w:cs="Arial"/>
          <w:bCs/>
          <w:lang w:val="en"/>
        </w:rPr>
        <w:t xml:space="preserve">As virtual or remote court proceedings are examined or established, special attention must be paid to ensuring that litigants can have full access to their attorney for consultation and explanation, even if this delays the proceedings. </w:t>
      </w:r>
      <w:r w:rsidR="00DC4155" w:rsidRPr="00CE2CA6">
        <w:rPr>
          <w:rFonts w:ascii="Arial" w:hAnsi="Arial" w:cs="Arial"/>
          <w:bCs/>
          <w:lang w:val="en"/>
        </w:rPr>
        <w:t xml:space="preserve">The technological methods of doing this as simply as possible may differ by procedure and platform utilized. </w:t>
      </w:r>
      <w:r w:rsidR="00A4585C" w:rsidRPr="00CE2CA6">
        <w:rPr>
          <w:rFonts w:ascii="Arial" w:hAnsi="Arial" w:cs="Arial"/>
          <w:bCs/>
          <w:lang w:val="en"/>
        </w:rPr>
        <w:t xml:space="preserve">In undertaking to form or evaluate </w:t>
      </w:r>
      <w:r w:rsidR="0065124B" w:rsidRPr="00CE2CA6">
        <w:rPr>
          <w:rFonts w:ascii="Arial" w:hAnsi="Arial" w:cs="Arial"/>
          <w:bCs/>
          <w:lang w:val="en"/>
        </w:rPr>
        <w:t>consultation capabilities, jurisdictions are encouraged not to rely on a request for such consultation from litigants. F</w:t>
      </w:r>
      <w:r w:rsidR="00C41F55" w:rsidRPr="00CE2CA6">
        <w:rPr>
          <w:rFonts w:ascii="Arial" w:hAnsi="Arial" w:cs="Arial"/>
          <w:bCs/>
          <w:lang w:val="en"/>
        </w:rPr>
        <w:t xml:space="preserve">ar too often, if the judge asks </w:t>
      </w:r>
      <w:r w:rsidR="00652828" w:rsidRPr="00CE2CA6">
        <w:rPr>
          <w:rFonts w:ascii="Arial" w:hAnsi="Arial" w:cs="Arial"/>
          <w:bCs/>
          <w:lang w:val="en"/>
        </w:rPr>
        <w:t xml:space="preserve">a litigant if </w:t>
      </w:r>
      <w:r w:rsidR="0087670D" w:rsidRPr="00CE2CA6">
        <w:rPr>
          <w:rFonts w:ascii="Arial" w:hAnsi="Arial" w:cs="Arial"/>
          <w:bCs/>
          <w:lang w:val="en"/>
        </w:rPr>
        <w:t xml:space="preserve">he or she understands, the litigant will reply yes </w:t>
      </w:r>
      <w:r w:rsidR="007621BD" w:rsidRPr="00CE2CA6">
        <w:rPr>
          <w:rFonts w:ascii="Arial" w:hAnsi="Arial" w:cs="Arial"/>
          <w:bCs/>
          <w:lang w:val="en"/>
        </w:rPr>
        <w:t>automatically when, if given the opportunity to ask questions of counsel, the individual would ask several questions</w:t>
      </w:r>
      <w:r w:rsidR="0087670D" w:rsidRPr="00CE2CA6">
        <w:rPr>
          <w:rFonts w:ascii="Arial" w:hAnsi="Arial" w:cs="Arial"/>
          <w:bCs/>
          <w:lang w:val="en"/>
        </w:rPr>
        <w:t>.</w:t>
      </w:r>
      <w:r w:rsidR="00DC4155" w:rsidRPr="00CE2CA6">
        <w:rPr>
          <w:rFonts w:ascii="Arial" w:hAnsi="Arial" w:cs="Arial"/>
          <w:bCs/>
          <w:lang w:val="en"/>
        </w:rPr>
        <w:t xml:space="preserve"> </w:t>
      </w:r>
      <w:r w:rsidR="00AF61CF" w:rsidRPr="00CE2CA6">
        <w:rPr>
          <w:rFonts w:ascii="Arial" w:hAnsi="Arial" w:cs="Arial"/>
          <w:bCs/>
          <w:lang w:val="en"/>
        </w:rPr>
        <w:t>Therefore, i</w:t>
      </w:r>
      <w:r w:rsidR="00323B45" w:rsidRPr="00CE2CA6">
        <w:rPr>
          <w:rFonts w:ascii="Arial" w:hAnsi="Arial" w:cs="Arial"/>
          <w:bCs/>
          <w:lang w:val="en"/>
        </w:rPr>
        <w:t xml:space="preserve">t may be advisable </w:t>
      </w:r>
      <w:r w:rsidR="00CC4F68" w:rsidRPr="00CE2CA6">
        <w:rPr>
          <w:rFonts w:ascii="Arial" w:hAnsi="Arial" w:cs="Arial"/>
          <w:bCs/>
          <w:lang w:val="en"/>
        </w:rPr>
        <w:t>for</w:t>
      </w:r>
      <w:r w:rsidR="00323B45" w:rsidRPr="00CE2CA6">
        <w:rPr>
          <w:rFonts w:ascii="Arial" w:hAnsi="Arial" w:cs="Arial"/>
          <w:bCs/>
          <w:lang w:val="en"/>
        </w:rPr>
        <w:t xml:space="preserve"> the judge or presiding authority </w:t>
      </w:r>
      <w:r w:rsidR="00CC4F68" w:rsidRPr="00CE2CA6">
        <w:rPr>
          <w:rFonts w:ascii="Arial" w:hAnsi="Arial" w:cs="Arial"/>
          <w:bCs/>
          <w:lang w:val="en"/>
        </w:rPr>
        <w:t xml:space="preserve">to </w:t>
      </w:r>
      <w:r w:rsidR="00323B45" w:rsidRPr="00CE2CA6">
        <w:rPr>
          <w:rFonts w:ascii="Arial" w:hAnsi="Arial" w:cs="Arial"/>
          <w:bCs/>
          <w:lang w:val="en"/>
        </w:rPr>
        <w:t xml:space="preserve">plan </w:t>
      </w:r>
      <w:r w:rsidR="00CC4F68" w:rsidRPr="00CE2CA6">
        <w:rPr>
          <w:rFonts w:ascii="Arial" w:hAnsi="Arial" w:cs="Arial"/>
          <w:bCs/>
          <w:lang w:val="en"/>
        </w:rPr>
        <w:t xml:space="preserve">or require </w:t>
      </w:r>
      <w:r w:rsidR="00323B45" w:rsidRPr="00CE2CA6">
        <w:rPr>
          <w:rFonts w:ascii="Arial" w:hAnsi="Arial" w:cs="Arial"/>
          <w:bCs/>
          <w:lang w:val="en"/>
        </w:rPr>
        <w:t>short breaks throughout proceedings to allow for such consultation</w:t>
      </w:r>
      <w:r w:rsidR="00AF61CF" w:rsidRPr="00CE2CA6">
        <w:rPr>
          <w:rFonts w:ascii="Arial" w:hAnsi="Arial" w:cs="Arial"/>
          <w:bCs/>
          <w:lang w:val="en"/>
        </w:rPr>
        <w:t xml:space="preserve">, rather than </w:t>
      </w:r>
      <w:r w:rsidR="00EE555D" w:rsidRPr="00CE2CA6">
        <w:rPr>
          <w:rFonts w:ascii="Arial" w:hAnsi="Arial" w:cs="Arial"/>
          <w:bCs/>
          <w:lang w:val="en"/>
        </w:rPr>
        <w:t>asking if consultation is required or expecting the litigant to request such consultation if needed</w:t>
      </w:r>
      <w:r w:rsidR="00323B45" w:rsidRPr="00CE2CA6">
        <w:rPr>
          <w:rFonts w:ascii="Arial" w:hAnsi="Arial" w:cs="Arial"/>
          <w:bCs/>
          <w:lang w:val="en"/>
        </w:rPr>
        <w:t>.</w:t>
      </w:r>
    </w:p>
    <w:p w14:paraId="26E74B6C" w14:textId="138536CC" w:rsidR="00214C20" w:rsidRPr="00CE2CA6" w:rsidRDefault="00214C20" w:rsidP="007A78BC">
      <w:pPr>
        <w:spacing w:after="240"/>
        <w:jc w:val="both"/>
        <w:rPr>
          <w:rFonts w:ascii="Arial" w:hAnsi="Arial" w:cs="Arial"/>
          <w:bCs/>
          <w:i/>
          <w:iCs/>
          <w:lang w:val="en"/>
        </w:rPr>
      </w:pPr>
      <w:r w:rsidRPr="00CE2CA6">
        <w:rPr>
          <w:rFonts w:ascii="Arial" w:hAnsi="Arial" w:cs="Arial"/>
          <w:bCs/>
          <w:i/>
          <w:iCs/>
          <w:lang w:val="en"/>
        </w:rPr>
        <w:t>Public Access and Privacy Concerns</w:t>
      </w:r>
    </w:p>
    <w:p w14:paraId="703BE655" w14:textId="5C7EE8AA" w:rsidR="00AA6F3D" w:rsidRPr="00CE2CA6" w:rsidRDefault="008029B3" w:rsidP="002C684B">
      <w:pPr>
        <w:rPr>
          <w:rFonts w:ascii="Arial" w:hAnsi="Arial" w:cs="Arial"/>
        </w:rPr>
      </w:pPr>
      <w:r w:rsidRPr="00CE2CA6">
        <w:rPr>
          <w:rFonts w:ascii="Arial" w:hAnsi="Arial" w:cs="Arial"/>
        </w:rPr>
        <w:t>The Sixth Amendment to the U</w:t>
      </w:r>
      <w:r w:rsidR="00D55B7B">
        <w:rPr>
          <w:rFonts w:ascii="Arial" w:hAnsi="Arial" w:cs="Arial"/>
        </w:rPr>
        <w:t>.</w:t>
      </w:r>
      <w:r w:rsidRPr="00CE2CA6">
        <w:rPr>
          <w:rFonts w:ascii="Arial" w:hAnsi="Arial" w:cs="Arial"/>
        </w:rPr>
        <w:t>S</w:t>
      </w:r>
      <w:r w:rsidR="00D55B7B">
        <w:rPr>
          <w:rFonts w:ascii="Arial" w:hAnsi="Arial" w:cs="Arial"/>
        </w:rPr>
        <w:t>.</w:t>
      </w:r>
      <w:r w:rsidRPr="00CE2CA6">
        <w:rPr>
          <w:rFonts w:ascii="Arial" w:hAnsi="Arial" w:cs="Arial"/>
        </w:rPr>
        <w:t xml:space="preserve"> Constitution </w:t>
      </w:r>
      <w:r w:rsidR="00E56C84" w:rsidRPr="00CE2CA6">
        <w:rPr>
          <w:rFonts w:ascii="Arial" w:hAnsi="Arial" w:cs="Arial"/>
        </w:rPr>
        <w:t>guarantees a defendant a right to a public trial.</w:t>
      </w:r>
      <w:r w:rsidR="00E56C84" w:rsidRPr="00CE2CA6">
        <w:rPr>
          <w:rStyle w:val="FootnoteReference"/>
          <w:rFonts w:ascii="Arial" w:hAnsi="Arial" w:cs="Arial"/>
        </w:rPr>
        <w:footnoteReference w:id="19"/>
      </w:r>
      <w:r w:rsidRPr="00CE2CA6">
        <w:rPr>
          <w:rFonts w:ascii="Arial" w:hAnsi="Arial" w:cs="Arial"/>
        </w:rPr>
        <w:t xml:space="preserve"> The U</w:t>
      </w:r>
      <w:r w:rsidR="00D55B7B">
        <w:rPr>
          <w:rFonts w:ascii="Arial" w:hAnsi="Arial" w:cs="Arial"/>
        </w:rPr>
        <w:t>.</w:t>
      </w:r>
      <w:r w:rsidRPr="00CE2CA6">
        <w:rPr>
          <w:rFonts w:ascii="Arial" w:hAnsi="Arial" w:cs="Arial"/>
        </w:rPr>
        <w:t>S</w:t>
      </w:r>
      <w:r w:rsidR="00D55B7B">
        <w:rPr>
          <w:rFonts w:ascii="Arial" w:hAnsi="Arial" w:cs="Arial"/>
        </w:rPr>
        <w:t>.</w:t>
      </w:r>
      <w:r w:rsidRPr="00CE2CA6">
        <w:rPr>
          <w:rFonts w:ascii="Arial" w:hAnsi="Arial" w:cs="Arial"/>
        </w:rPr>
        <w:t xml:space="preserve"> Supreme Court has held that the press and public have a </w:t>
      </w:r>
      <w:r w:rsidR="00B54E81" w:rsidRPr="00CE2CA6">
        <w:rPr>
          <w:rFonts w:ascii="Arial" w:hAnsi="Arial" w:cs="Arial"/>
        </w:rPr>
        <w:t xml:space="preserve">right under the </w:t>
      </w:r>
      <w:r w:rsidRPr="00CE2CA6">
        <w:rPr>
          <w:rFonts w:ascii="Arial" w:hAnsi="Arial" w:cs="Arial"/>
        </w:rPr>
        <w:t xml:space="preserve">First Amendment </w:t>
      </w:r>
      <w:r w:rsidR="00B54E81" w:rsidRPr="00CE2CA6">
        <w:rPr>
          <w:rFonts w:ascii="Arial" w:hAnsi="Arial" w:cs="Arial"/>
        </w:rPr>
        <w:t>to attend trials,</w:t>
      </w:r>
      <w:r w:rsidR="00B54E81" w:rsidRPr="00CE2CA6">
        <w:rPr>
          <w:rStyle w:val="FootnoteReference"/>
          <w:rFonts w:ascii="Arial" w:hAnsi="Arial" w:cs="Arial"/>
        </w:rPr>
        <w:footnoteReference w:id="20"/>
      </w:r>
      <w:r w:rsidR="00B54E81" w:rsidRPr="00CE2CA6">
        <w:rPr>
          <w:rFonts w:ascii="Arial" w:hAnsi="Arial" w:cs="Arial"/>
        </w:rPr>
        <w:t xml:space="preserve"> as well as other court proceedings</w:t>
      </w:r>
      <w:r w:rsidRPr="00CE2CA6">
        <w:rPr>
          <w:rFonts w:ascii="Arial" w:hAnsi="Arial" w:cs="Arial"/>
        </w:rPr>
        <w:t>.</w:t>
      </w:r>
      <w:r w:rsidR="00B54E81" w:rsidRPr="00CE2CA6">
        <w:rPr>
          <w:rStyle w:val="FootnoteReference"/>
          <w:rFonts w:ascii="Arial" w:hAnsi="Arial" w:cs="Arial"/>
        </w:rPr>
        <w:footnoteReference w:id="21"/>
      </w:r>
      <w:r w:rsidRPr="00CE2CA6">
        <w:rPr>
          <w:rFonts w:ascii="Arial" w:hAnsi="Arial" w:cs="Arial"/>
        </w:rPr>
        <w:t xml:space="preserve"> </w:t>
      </w:r>
      <w:r w:rsidR="00474D72" w:rsidRPr="00CE2CA6">
        <w:rPr>
          <w:rFonts w:ascii="Arial" w:hAnsi="Arial" w:cs="Arial"/>
        </w:rPr>
        <w:t xml:space="preserve">At the same time, </w:t>
      </w:r>
      <w:r w:rsidR="002B51B5" w:rsidRPr="00CE2CA6">
        <w:rPr>
          <w:rFonts w:ascii="Arial" w:hAnsi="Arial" w:cs="Arial"/>
        </w:rPr>
        <w:t xml:space="preserve">the right of public access to a courtroom does not extend to recording </w:t>
      </w:r>
      <w:r w:rsidR="00AA6F3D" w:rsidRPr="00CE2CA6">
        <w:rPr>
          <w:rFonts w:ascii="Arial" w:hAnsi="Arial" w:cs="Arial"/>
        </w:rPr>
        <w:t xml:space="preserve">the </w:t>
      </w:r>
      <w:r w:rsidR="002B51B5" w:rsidRPr="00CE2CA6">
        <w:rPr>
          <w:rFonts w:ascii="Arial" w:hAnsi="Arial" w:cs="Arial"/>
        </w:rPr>
        <w:t>proceedings</w:t>
      </w:r>
      <w:r w:rsidR="007711D9" w:rsidRPr="00CE2CA6">
        <w:rPr>
          <w:rFonts w:ascii="Arial" w:hAnsi="Arial" w:cs="Arial"/>
        </w:rPr>
        <w:t xml:space="preserve">. </w:t>
      </w:r>
    </w:p>
    <w:p w14:paraId="372D97B9" w14:textId="77777777" w:rsidR="00AA6F3D" w:rsidRPr="00CE2CA6" w:rsidRDefault="00AA6F3D" w:rsidP="002C684B">
      <w:pPr>
        <w:rPr>
          <w:rFonts w:ascii="Arial" w:hAnsi="Arial" w:cs="Arial"/>
        </w:rPr>
      </w:pPr>
    </w:p>
    <w:p w14:paraId="21B8639A" w14:textId="7E43B7AA" w:rsidR="00160E7A" w:rsidRPr="00CE2CA6" w:rsidRDefault="0084130E" w:rsidP="002C684B">
      <w:pPr>
        <w:rPr>
          <w:rFonts w:ascii="Arial" w:hAnsi="Arial" w:cs="Arial"/>
        </w:rPr>
      </w:pPr>
      <w:r w:rsidRPr="00CE2CA6">
        <w:rPr>
          <w:rFonts w:ascii="Arial" w:hAnsi="Arial" w:cs="Arial"/>
        </w:rPr>
        <w:t>The debate over cameras in courtrooms has waged for decades, with proponents arguing that</w:t>
      </w:r>
      <w:r w:rsidR="00E52C50" w:rsidRPr="00CE2CA6">
        <w:rPr>
          <w:rFonts w:ascii="Arial" w:hAnsi="Arial" w:cs="Arial"/>
        </w:rPr>
        <w:t xml:space="preserve"> broadcasting permits the public to understand the justice system, and opponents arguing that </w:t>
      </w:r>
      <w:r w:rsidR="00FA3415" w:rsidRPr="00CE2CA6">
        <w:rPr>
          <w:rFonts w:ascii="Arial" w:hAnsi="Arial" w:cs="Arial"/>
        </w:rPr>
        <w:t xml:space="preserve">cameras may distract participants and require the defense to create two levels of argument–one on the law and one for the public. </w:t>
      </w:r>
      <w:r w:rsidR="00160E7A" w:rsidRPr="00CE2CA6">
        <w:rPr>
          <w:rFonts w:ascii="Arial" w:hAnsi="Arial" w:cs="Arial"/>
        </w:rPr>
        <w:t>While m</w:t>
      </w:r>
      <w:r w:rsidR="00173AAA" w:rsidRPr="00CE2CA6">
        <w:rPr>
          <w:rFonts w:ascii="Arial" w:hAnsi="Arial" w:cs="Arial"/>
        </w:rPr>
        <w:t>any</w:t>
      </w:r>
      <w:r w:rsidR="00160E7A" w:rsidRPr="00CE2CA6">
        <w:rPr>
          <w:rFonts w:ascii="Arial" w:hAnsi="Arial" w:cs="Arial"/>
        </w:rPr>
        <w:t xml:space="preserve"> courts allow recordings</w:t>
      </w:r>
      <w:r w:rsidR="002B51B5" w:rsidRPr="00CE2CA6">
        <w:rPr>
          <w:rFonts w:ascii="Arial" w:hAnsi="Arial" w:cs="Arial"/>
        </w:rPr>
        <w:t xml:space="preserve">, </w:t>
      </w:r>
      <w:r w:rsidR="002E7760" w:rsidRPr="00CE2CA6">
        <w:rPr>
          <w:rFonts w:ascii="Arial" w:hAnsi="Arial" w:cs="Arial"/>
        </w:rPr>
        <w:t>many</w:t>
      </w:r>
      <w:r w:rsidR="00173AAA" w:rsidRPr="00CE2CA6">
        <w:rPr>
          <w:rFonts w:ascii="Arial" w:hAnsi="Arial" w:cs="Arial"/>
        </w:rPr>
        <w:t xml:space="preserve"> other</w:t>
      </w:r>
      <w:r w:rsidR="002E7760" w:rsidRPr="00CE2CA6">
        <w:rPr>
          <w:rFonts w:ascii="Arial" w:hAnsi="Arial" w:cs="Arial"/>
        </w:rPr>
        <w:t xml:space="preserve"> </w:t>
      </w:r>
      <w:r w:rsidR="002B51B5" w:rsidRPr="00CE2CA6">
        <w:rPr>
          <w:rFonts w:ascii="Arial" w:hAnsi="Arial" w:cs="Arial"/>
        </w:rPr>
        <w:t xml:space="preserve">courts still forbid </w:t>
      </w:r>
      <w:r w:rsidR="000E2E5A" w:rsidRPr="00CE2CA6">
        <w:rPr>
          <w:rFonts w:ascii="Arial" w:hAnsi="Arial" w:cs="Arial"/>
        </w:rPr>
        <w:t>such recordings.</w:t>
      </w:r>
      <w:r w:rsidR="00CD3309" w:rsidRPr="00CE2CA6">
        <w:rPr>
          <w:rStyle w:val="FootnoteReference"/>
          <w:rFonts w:ascii="Arial" w:hAnsi="Arial" w:cs="Arial"/>
        </w:rPr>
        <w:footnoteReference w:id="22"/>
      </w:r>
      <w:r w:rsidR="000E2E5A" w:rsidRPr="00CE2CA6">
        <w:rPr>
          <w:rFonts w:ascii="Arial" w:hAnsi="Arial" w:cs="Arial"/>
        </w:rPr>
        <w:t xml:space="preserve"> </w:t>
      </w:r>
      <w:r w:rsidR="00160E7A" w:rsidRPr="00CE2CA6">
        <w:rPr>
          <w:rFonts w:ascii="Arial" w:hAnsi="Arial" w:cs="Arial"/>
        </w:rPr>
        <w:t xml:space="preserve">Broadcasting </w:t>
      </w:r>
      <w:r w:rsidR="00C26A8D" w:rsidRPr="00CE2CA6">
        <w:rPr>
          <w:rFonts w:ascii="Arial" w:hAnsi="Arial" w:cs="Arial"/>
        </w:rPr>
        <w:t>courts proceedings over the internet, however, subjects all such proceedings to recording. While a request can be made not to record,</w:t>
      </w:r>
      <w:r w:rsidR="00C26A8D" w:rsidRPr="00CE2CA6">
        <w:rPr>
          <w:rStyle w:val="FootnoteReference"/>
          <w:rFonts w:ascii="Arial" w:hAnsi="Arial" w:cs="Arial"/>
        </w:rPr>
        <w:footnoteReference w:id="23"/>
      </w:r>
      <w:r w:rsidR="00C26A8D" w:rsidRPr="00CE2CA6">
        <w:rPr>
          <w:rFonts w:ascii="Arial" w:hAnsi="Arial" w:cs="Arial"/>
        </w:rPr>
        <w:t xml:space="preserve"> the broadcaster cannot effectively bar such recordings. </w:t>
      </w:r>
    </w:p>
    <w:p w14:paraId="715BCB57" w14:textId="7D8D5FA4" w:rsidR="00130B21" w:rsidRPr="00CE2CA6" w:rsidRDefault="00130B21" w:rsidP="002C684B">
      <w:pPr>
        <w:rPr>
          <w:rFonts w:ascii="Arial" w:hAnsi="Arial" w:cs="Arial"/>
        </w:rPr>
      </w:pPr>
    </w:p>
    <w:p w14:paraId="339B1F79" w14:textId="4EA7345B" w:rsidR="00130B21" w:rsidRPr="00CE2CA6" w:rsidRDefault="008E435D" w:rsidP="002C684B">
      <w:pPr>
        <w:rPr>
          <w:rFonts w:ascii="Arial" w:hAnsi="Arial" w:cs="Arial"/>
        </w:rPr>
      </w:pPr>
      <w:r w:rsidRPr="00CE2CA6">
        <w:rPr>
          <w:rFonts w:ascii="Arial" w:hAnsi="Arial" w:cs="Arial"/>
        </w:rPr>
        <w:t xml:space="preserve">Public access is not only a means for disinterested observers or academics to watch court proceedings, but </w:t>
      </w:r>
      <w:r w:rsidR="008C7AD2">
        <w:rPr>
          <w:rFonts w:ascii="Arial" w:hAnsi="Arial" w:cs="Arial"/>
        </w:rPr>
        <w:t xml:space="preserve">it is also </w:t>
      </w:r>
      <w:r w:rsidRPr="00CE2CA6">
        <w:rPr>
          <w:rFonts w:ascii="Arial" w:hAnsi="Arial" w:cs="Arial"/>
        </w:rPr>
        <w:t>the means by which family members and loved ones can attend</w:t>
      </w:r>
      <w:r w:rsidR="00A72B9B" w:rsidRPr="00CE2CA6">
        <w:rPr>
          <w:rFonts w:ascii="Arial" w:hAnsi="Arial" w:cs="Arial"/>
        </w:rPr>
        <w:t xml:space="preserve">. Yet the manner in which some courts share virtual or remote proceedings is confusing and </w:t>
      </w:r>
      <w:r w:rsidR="004040F7" w:rsidRPr="00CE2CA6">
        <w:rPr>
          <w:rFonts w:ascii="Arial" w:hAnsi="Arial" w:cs="Arial"/>
        </w:rPr>
        <w:t xml:space="preserve">often deficient. </w:t>
      </w:r>
      <w:r w:rsidR="00AB3FFB" w:rsidRPr="00CE2CA6">
        <w:rPr>
          <w:rFonts w:ascii="Arial" w:hAnsi="Arial" w:cs="Arial"/>
        </w:rPr>
        <w:t xml:space="preserve">In most </w:t>
      </w:r>
      <w:r w:rsidR="004040F7" w:rsidRPr="00CE2CA6">
        <w:rPr>
          <w:rFonts w:ascii="Arial" w:hAnsi="Arial" w:cs="Arial"/>
        </w:rPr>
        <w:t>jurisdictions, if</w:t>
      </w:r>
      <w:r w:rsidR="00AB3FFB" w:rsidRPr="00CE2CA6">
        <w:rPr>
          <w:rFonts w:ascii="Arial" w:hAnsi="Arial" w:cs="Arial"/>
        </w:rPr>
        <w:t xml:space="preserve"> </w:t>
      </w:r>
      <w:r w:rsidR="002F2DED" w:rsidRPr="00CE2CA6">
        <w:rPr>
          <w:rFonts w:ascii="Arial" w:hAnsi="Arial" w:cs="Arial"/>
        </w:rPr>
        <w:t>remote or virtual</w:t>
      </w:r>
      <w:r w:rsidR="00AB3FFB" w:rsidRPr="00CE2CA6">
        <w:rPr>
          <w:rFonts w:ascii="Arial" w:hAnsi="Arial" w:cs="Arial"/>
        </w:rPr>
        <w:t xml:space="preserve"> court is streamed live </w:t>
      </w:r>
      <w:r w:rsidR="004040F7" w:rsidRPr="00CE2CA6">
        <w:rPr>
          <w:rFonts w:ascii="Arial" w:hAnsi="Arial" w:cs="Arial"/>
        </w:rPr>
        <w:t xml:space="preserve">at all, it is streamed or broadcast, </w:t>
      </w:r>
      <w:r w:rsidR="00AB3FFB" w:rsidRPr="00CE2CA6">
        <w:rPr>
          <w:rFonts w:ascii="Arial" w:hAnsi="Arial" w:cs="Arial"/>
        </w:rPr>
        <w:t>not via the court website, where one might access dockets with a list of cases to be heard</w:t>
      </w:r>
      <w:r w:rsidR="009F7E3B" w:rsidRPr="00CE2CA6">
        <w:rPr>
          <w:rFonts w:ascii="Arial" w:hAnsi="Arial" w:cs="Arial"/>
        </w:rPr>
        <w:t>, but via a YouTube or Facebook Live Feed</w:t>
      </w:r>
      <w:r w:rsidR="00DF3888" w:rsidRPr="00CE2CA6">
        <w:rPr>
          <w:rFonts w:ascii="Arial" w:hAnsi="Arial" w:cs="Arial"/>
        </w:rPr>
        <w:t xml:space="preserve">. </w:t>
      </w:r>
      <w:r w:rsidR="00D16EF6" w:rsidRPr="00CE2CA6">
        <w:rPr>
          <w:rFonts w:ascii="Arial" w:hAnsi="Arial" w:cs="Arial"/>
        </w:rPr>
        <w:t>Often no notice of hearings is provided. In watching or listening to a stream</w:t>
      </w:r>
      <w:r w:rsidR="004040F7" w:rsidRPr="00CE2CA6">
        <w:rPr>
          <w:rFonts w:ascii="Arial" w:hAnsi="Arial" w:cs="Arial"/>
        </w:rPr>
        <w:t>ed or broadcast hearing</w:t>
      </w:r>
      <w:r w:rsidR="00D16EF6" w:rsidRPr="00CE2CA6">
        <w:rPr>
          <w:rFonts w:ascii="Arial" w:hAnsi="Arial" w:cs="Arial"/>
        </w:rPr>
        <w:t>, n</w:t>
      </w:r>
      <w:r w:rsidR="00DF3888" w:rsidRPr="00CE2CA6">
        <w:rPr>
          <w:rFonts w:ascii="Arial" w:hAnsi="Arial" w:cs="Arial"/>
        </w:rPr>
        <w:t xml:space="preserve">o header is provided concerning the case or even the </w:t>
      </w:r>
      <w:r w:rsidR="00073F53" w:rsidRPr="00CE2CA6">
        <w:rPr>
          <w:rFonts w:ascii="Arial" w:hAnsi="Arial" w:cs="Arial"/>
        </w:rPr>
        <w:t xml:space="preserve">type of </w:t>
      </w:r>
      <w:r w:rsidR="00DF3888" w:rsidRPr="00CE2CA6">
        <w:rPr>
          <w:rFonts w:ascii="Arial" w:hAnsi="Arial" w:cs="Arial"/>
        </w:rPr>
        <w:t xml:space="preserve">docket. </w:t>
      </w:r>
      <w:r w:rsidR="00130B21" w:rsidRPr="00CE2CA6">
        <w:rPr>
          <w:rFonts w:ascii="Arial" w:hAnsi="Arial" w:cs="Arial"/>
        </w:rPr>
        <w:t xml:space="preserve">In in-person </w:t>
      </w:r>
      <w:r w:rsidR="00FA04B1" w:rsidRPr="00CE2CA6">
        <w:rPr>
          <w:rFonts w:ascii="Arial" w:hAnsi="Arial" w:cs="Arial"/>
        </w:rPr>
        <w:t xml:space="preserve">criminal </w:t>
      </w:r>
      <w:r w:rsidR="00130B21" w:rsidRPr="00CE2CA6">
        <w:rPr>
          <w:rFonts w:ascii="Arial" w:hAnsi="Arial" w:cs="Arial"/>
        </w:rPr>
        <w:t>proceedings, the judge, prosecutor, defense</w:t>
      </w:r>
      <w:r w:rsidR="00FA04B1" w:rsidRPr="00CE2CA6">
        <w:rPr>
          <w:rFonts w:ascii="Arial" w:hAnsi="Arial" w:cs="Arial"/>
        </w:rPr>
        <w:t xml:space="preserve"> attorney and accused are identifiable both by where they stand or sit in the courtroom. M</w:t>
      </w:r>
      <w:r w:rsidR="002F2DED" w:rsidRPr="00CE2CA6">
        <w:rPr>
          <w:rFonts w:ascii="Arial" w:hAnsi="Arial" w:cs="Arial"/>
        </w:rPr>
        <w:t>ost</w:t>
      </w:r>
      <w:r w:rsidR="00FA04B1" w:rsidRPr="00CE2CA6">
        <w:rPr>
          <w:rFonts w:ascii="Arial" w:hAnsi="Arial" w:cs="Arial"/>
        </w:rPr>
        <w:t xml:space="preserve"> online platforms do not similarly </w:t>
      </w:r>
      <w:r w:rsidR="00073F53" w:rsidRPr="00CE2CA6">
        <w:rPr>
          <w:rFonts w:ascii="Arial" w:hAnsi="Arial" w:cs="Arial"/>
        </w:rPr>
        <w:t>allow a party to lock a view into place</w:t>
      </w:r>
      <w:r w:rsidR="00AA6567">
        <w:rPr>
          <w:rFonts w:ascii="Arial" w:hAnsi="Arial" w:cs="Arial"/>
        </w:rPr>
        <w:t>,</w:t>
      </w:r>
      <w:r w:rsidR="00E220E3" w:rsidRPr="00CE2CA6">
        <w:rPr>
          <w:rFonts w:ascii="Arial" w:hAnsi="Arial" w:cs="Arial"/>
        </w:rPr>
        <w:t xml:space="preserve"> and there is therefore no discernable way to distinguish attorneys from the court personnel </w:t>
      </w:r>
      <w:r w:rsidR="00574C81">
        <w:rPr>
          <w:rFonts w:ascii="Arial" w:hAnsi="Arial" w:cs="Arial"/>
        </w:rPr>
        <w:t xml:space="preserve">or </w:t>
      </w:r>
      <w:r w:rsidR="00E220E3" w:rsidRPr="00CE2CA6">
        <w:rPr>
          <w:rFonts w:ascii="Arial" w:hAnsi="Arial" w:cs="Arial"/>
        </w:rPr>
        <w:t xml:space="preserve">from the </w:t>
      </w:r>
      <w:r w:rsidR="004B4967" w:rsidRPr="00CE2CA6">
        <w:rPr>
          <w:rFonts w:ascii="Arial" w:hAnsi="Arial" w:cs="Arial"/>
        </w:rPr>
        <w:t>litigants</w:t>
      </w:r>
      <w:r w:rsidR="00073F53" w:rsidRPr="00CE2CA6">
        <w:rPr>
          <w:rFonts w:ascii="Arial" w:hAnsi="Arial" w:cs="Arial"/>
        </w:rPr>
        <w:t xml:space="preserve">. </w:t>
      </w:r>
      <w:r w:rsidR="004B4967" w:rsidRPr="00CE2CA6">
        <w:rPr>
          <w:rFonts w:ascii="Arial" w:hAnsi="Arial" w:cs="Arial"/>
        </w:rPr>
        <w:t>Improved procedures might provide for advanced</w:t>
      </w:r>
      <w:r w:rsidR="00073F53" w:rsidRPr="00CE2CA6">
        <w:rPr>
          <w:rFonts w:ascii="Arial" w:hAnsi="Arial" w:cs="Arial"/>
        </w:rPr>
        <w:t xml:space="preserve"> notice of virtual or remote hearings, along with dockets </w:t>
      </w:r>
      <w:r w:rsidR="008E6DA6" w:rsidRPr="00CE2CA6">
        <w:rPr>
          <w:rFonts w:ascii="Arial" w:hAnsi="Arial" w:cs="Arial"/>
        </w:rPr>
        <w:t>and links to the feed</w:t>
      </w:r>
      <w:r w:rsidR="00194AF7" w:rsidRPr="00CE2CA6">
        <w:rPr>
          <w:rFonts w:ascii="Arial" w:hAnsi="Arial" w:cs="Arial"/>
        </w:rPr>
        <w:t xml:space="preserve"> or broadcast to be posted</w:t>
      </w:r>
      <w:r w:rsidR="008E6DA6" w:rsidRPr="00CE2CA6">
        <w:rPr>
          <w:rFonts w:ascii="Arial" w:hAnsi="Arial" w:cs="Arial"/>
        </w:rPr>
        <w:t xml:space="preserve"> </w:t>
      </w:r>
      <w:r w:rsidR="00073F53" w:rsidRPr="00CE2CA6">
        <w:rPr>
          <w:rFonts w:ascii="Arial" w:hAnsi="Arial" w:cs="Arial"/>
        </w:rPr>
        <w:t>on the court webpage</w:t>
      </w:r>
      <w:r w:rsidR="00194AF7" w:rsidRPr="00CE2CA6">
        <w:rPr>
          <w:rFonts w:ascii="Arial" w:hAnsi="Arial" w:cs="Arial"/>
        </w:rPr>
        <w:t>. Additionally, encouraging individuals to introduce themselves and/or</w:t>
      </w:r>
      <w:r w:rsidR="00073F53" w:rsidRPr="00CE2CA6">
        <w:rPr>
          <w:rFonts w:ascii="Arial" w:hAnsi="Arial" w:cs="Arial"/>
        </w:rPr>
        <w:t xml:space="preserve"> label their feed with their correct name and position/</w:t>
      </w:r>
      <w:r w:rsidR="00194AF7" w:rsidRPr="00CE2CA6">
        <w:rPr>
          <w:rFonts w:ascii="Arial" w:hAnsi="Arial" w:cs="Arial"/>
        </w:rPr>
        <w:t>t</w:t>
      </w:r>
      <w:r w:rsidR="00073F53" w:rsidRPr="00CE2CA6">
        <w:rPr>
          <w:rFonts w:ascii="Arial" w:hAnsi="Arial" w:cs="Arial"/>
        </w:rPr>
        <w:t>itle</w:t>
      </w:r>
      <w:r w:rsidR="008E6DA6" w:rsidRPr="00CE2CA6">
        <w:rPr>
          <w:rFonts w:ascii="Arial" w:hAnsi="Arial" w:cs="Arial"/>
        </w:rPr>
        <w:t xml:space="preserve">, would </w:t>
      </w:r>
      <w:r w:rsidR="00194AF7" w:rsidRPr="00CE2CA6">
        <w:rPr>
          <w:rFonts w:ascii="Arial" w:hAnsi="Arial" w:cs="Arial"/>
        </w:rPr>
        <w:t xml:space="preserve">improve </w:t>
      </w:r>
      <w:r w:rsidR="008E6DA6" w:rsidRPr="00CE2CA6">
        <w:rPr>
          <w:rFonts w:ascii="Arial" w:hAnsi="Arial" w:cs="Arial"/>
        </w:rPr>
        <w:t>public access significantly</w:t>
      </w:r>
      <w:r w:rsidR="00073F53" w:rsidRPr="00CE2CA6">
        <w:rPr>
          <w:rFonts w:ascii="Arial" w:hAnsi="Arial" w:cs="Arial"/>
        </w:rPr>
        <w:t>.</w:t>
      </w:r>
      <w:r w:rsidR="007D1013" w:rsidRPr="00CE2CA6">
        <w:rPr>
          <w:rFonts w:ascii="Arial" w:hAnsi="Arial" w:cs="Arial"/>
        </w:rPr>
        <w:t xml:space="preserve"> </w:t>
      </w:r>
    </w:p>
    <w:p w14:paraId="3F8B7B02" w14:textId="77777777" w:rsidR="00160E7A" w:rsidRPr="00CE2CA6" w:rsidRDefault="00160E7A" w:rsidP="002C684B">
      <w:pPr>
        <w:rPr>
          <w:rFonts w:ascii="Arial" w:hAnsi="Arial" w:cs="Arial"/>
        </w:rPr>
      </w:pPr>
    </w:p>
    <w:p w14:paraId="42DA2104" w14:textId="64765AFF" w:rsidR="00CE0BA0" w:rsidRPr="00CE2CA6" w:rsidRDefault="006C527F" w:rsidP="006F43E1">
      <w:pPr>
        <w:rPr>
          <w:rFonts w:ascii="Arial" w:hAnsi="Arial" w:cs="Arial"/>
        </w:rPr>
      </w:pPr>
      <w:r w:rsidRPr="00CE2CA6">
        <w:rPr>
          <w:rFonts w:ascii="Arial" w:hAnsi="Arial" w:cs="Arial"/>
        </w:rPr>
        <w:t>At the same time, t</w:t>
      </w:r>
      <w:r w:rsidR="00130B21" w:rsidRPr="00CE2CA6">
        <w:rPr>
          <w:rFonts w:ascii="Arial" w:hAnsi="Arial" w:cs="Arial"/>
        </w:rPr>
        <w:t>he</w:t>
      </w:r>
      <w:r w:rsidR="00474D72" w:rsidRPr="00CE2CA6">
        <w:rPr>
          <w:rFonts w:ascii="Arial" w:hAnsi="Arial" w:cs="Arial"/>
        </w:rPr>
        <w:t xml:space="preserve"> right of the public and press to witness court proceedings is not absolute. </w:t>
      </w:r>
      <w:r w:rsidRPr="00CE2CA6">
        <w:rPr>
          <w:rFonts w:ascii="Arial" w:hAnsi="Arial" w:cs="Arial"/>
        </w:rPr>
        <w:t xml:space="preserve">In some proceedings, the right of a particular litigant or witness to privacy or continued anonymity trumps the right of public access. </w:t>
      </w:r>
      <w:r w:rsidR="00474D72" w:rsidRPr="00CE2CA6">
        <w:rPr>
          <w:rFonts w:ascii="Arial" w:hAnsi="Arial" w:cs="Arial"/>
        </w:rPr>
        <w:t xml:space="preserve">For example, </w:t>
      </w:r>
      <w:r w:rsidR="00FC6A5E" w:rsidRPr="00CE2CA6">
        <w:rPr>
          <w:rFonts w:ascii="Arial" w:hAnsi="Arial" w:cs="Arial"/>
        </w:rPr>
        <w:t xml:space="preserve">juvenile court proceedings are typically closed to limit the future consequences </w:t>
      </w:r>
      <w:r w:rsidR="003366DC">
        <w:rPr>
          <w:rFonts w:ascii="Arial" w:hAnsi="Arial" w:cs="Arial"/>
        </w:rPr>
        <w:t>for</w:t>
      </w:r>
      <w:r w:rsidR="00FC6A5E" w:rsidRPr="00CE2CA6">
        <w:rPr>
          <w:rFonts w:ascii="Arial" w:hAnsi="Arial" w:cs="Arial"/>
        </w:rPr>
        <w:t xml:space="preserve"> the minor.</w:t>
      </w:r>
      <w:r w:rsidR="00012040" w:rsidRPr="00CE2CA6">
        <w:rPr>
          <w:rStyle w:val="FootnoteReference"/>
          <w:rFonts w:ascii="Arial" w:hAnsi="Arial" w:cs="Arial"/>
        </w:rPr>
        <w:footnoteReference w:id="24"/>
      </w:r>
      <w:r w:rsidR="000707FB" w:rsidRPr="00CE2CA6">
        <w:rPr>
          <w:rFonts w:ascii="Arial" w:hAnsi="Arial" w:cs="Arial"/>
        </w:rPr>
        <w:t xml:space="preserve"> A judge may also close a proceeding that would otherwise be open to the public to</w:t>
      </w:r>
      <w:r w:rsidR="00A35302" w:rsidRPr="00CE2CA6">
        <w:rPr>
          <w:rFonts w:ascii="Arial" w:hAnsi="Arial" w:cs="Arial"/>
        </w:rPr>
        <w:t xml:space="preserve"> </w:t>
      </w:r>
      <w:r w:rsidR="000707FB" w:rsidRPr="00CE2CA6">
        <w:rPr>
          <w:rFonts w:ascii="Arial" w:hAnsi="Arial" w:cs="Arial"/>
        </w:rPr>
        <w:t>protect the identity of an undercover officer</w:t>
      </w:r>
      <w:r w:rsidR="00A35302" w:rsidRPr="00CE2CA6">
        <w:rPr>
          <w:rFonts w:ascii="Arial" w:hAnsi="Arial" w:cs="Arial"/>
        </w:rPr>
        <w:t xml:space="preserve"> or </w:t>
      </w:r>
      <w:r w:rsidR="004A2046" w:rsidRPr="00CE2CA6">
        <w:rPr>
          <w:rFonts w:ascii="Arial" w:hAnsi="Arial" w:cs="Arial"/>
        </w:rPr>
        <w:t>a child witness</w:t>
      </w:r>
      <w:r w:rsidR="00D7683F" w:rsidRPr="00CE2CA6">
        <w:rPr>
          <w:rFonts w:ascii="Arial" w:hAnsi="Arial" w:cs="Arial"/>
        </w:rPr>
        <w:t>.</w:t>
      </w:r>
      <w:r w:rsidR="00134175" w:rsidRPr="00CE2CA6">
        <w:rPr>
          <w:rStyle w:val="FootnoteReference"/>
          <w:rFonts w:ascii="Arial" w:hAnsi="Arial" w:cs="Arial"/>
        </w:rPr>
        <w:footnoteReference w:id="25"/>
      </w:r>
      <w:r w:rsidR="00D7683F" w:rsidRPr="00CE2CA6">
        <w:rPr>
          <w:rFonts w:ascii="Arial" w:hAnsi="Arial" w:cs="Arial"/>
        </w:rPr>
        <w:t xml:space="preserve"> </w:t>
      </w:r>
      <w:r w:rsidR="00496BD9" w:rsidRPr="00CE2CA6">
        <w:rPr>
          <w:rFonts w:ascii="Arial" w:hAnsi="Arial" w:cs="Arial"/>
        </w:rPr>
        <w:t xml:space="preserve">Protecting the privacy of these court proceedings that should remain private is </w:t>
      </w:r>
      <w:r w:rsidR="00594760">
        <w:rPr>
          <w:rFonts w:ascii="Arial" w:hAnsi="Arial" w:cs="Arial"/>
        </w:rPr>
        <w:t>as</w:t>
      </w:r>
      <w:r w:rsidR="00496BD9" w:rsidRPr="00CE2CA6">
        <w:rPr>
          <w:rFonts w:ascii="Arial" w:hAnsi="Arial" w:cs="Arial"/>
        </w:rPr>
        <w:t xml:space="preserve"> important </w:t>
      </w:r>
      <w:r w:rsidR="00594760">
        <w:rPr>
          <w:rFonts w:ascii="Arial" w:hAnsi="Arial" w:cs="Arial"/>
        </w:rPr>
        <w:t>as</w:t>
      </w:r>
      <w:r w:rsidR="00496BD9" w:rsidRPr="00CE2CA6">
        <w:rPr>
          <w:rFonts w:ascii="Arial" w:hAnsi="Arial" w:cs="Arial"/>
        </w:rPr>
        <w:t xml:space="preserve"> ensuring public access to those that should be made public.</w:t>
      </w:r>
      <w:r w:rsidR="004C12BC" w:rsidRPr="00CE2CA6">
        <w:rPr>
          <w:rFonts w:ascii="Arial" w:hAnsi="Arial" w:cs="Arial"/>
        </w:rPr>
        <w:t xml:space="preserve"> Virtual and remote court procedures must therefore both ensure </w:t>
      </w:r>
      <w:r w:rsidR="00F33925" w:rsidRPr="00CE2CA6">
        <w:rPr>
          <w:rFonts w:ascii="Arial" w:hAnsi="Arial" w:cs="Arial"/>
        </w:rPr>
        <w:t>privacy in appropriate cases</w:t>
      </w:r>
      <w:r w:rsidR="004C12BC" w:rsidRPr="00CE2CA6">
        <w:rPr>
          <w:rFonts w:ascii="Arial" w:hAnsi="Arial" w:cs="Arial"/>
        </w:rPr>
        <w:t xml:space="preserve">, something difficult to guarantee on many of the online platforms, </w:t>
      </w:r>
      <w:r w:rsidR="004327DA">
        <w:rPr>
          <w:rFonts w:ascii="Arial" w:hAnsi="Arial" w:cs="Arial"/>
        </w:rPr>
        <w:t>and ensure</w:t>
      </w:r>
      <w:r w:rsidR="00F33925" w:rsidRPr="00CE2CA6">
        <w:rPr>
          <w:rFonts w:ascii="Arial" w:hAnsi="Arial" w:cs="Arial"/>
        </w:rPr>
        <w:t xml:space="preserve"> public and media access in the majority of cases to which there is a right of access.</w:t>
      </w:r>
    </w:p>
    <w:p w14:paraId="79DA41CF" w14:textId="77777777" w:rsidR="006F43E1" w:rsidRPr="00CE2CA6" w:rsidRDefault="006F43E1" w:rsidP="006F43E1">
      <w:pPr>
        <w:rPr>
          <w:rFonts w:ascii="Arial" w:hAnsi="Arial" w:cs="Arial"/>
        </w:rPr>
      </w:pPr>
    </w:p>
    <w:p w14:paraId="2A2B17FD" w14:textId="77777777" w:rsidR="00CE0BA0" w:rsidRPr="00CE2CA6" w:rsidRDefault="00CE0BA0" w:rsidP="00CE0BA0">
      <w:pPr>
        <w:spacing w:after="240"/>
        <w:jc w:val="both"/>
        <w:rPr>
          <w:rFonts w:ascii="Arial" w:hAnsi="Arial" w:cs="Arial"/>
          <w:b/>
          <w:lang w:val="en"/>
        </w:rPr>
      </w:pPr>
      <w:r w:rsidRPr="00CE2CA6">
        <w:rPr>
          <w:rFonts w:ascii="Arial" w:hAnsi="Arial" w:cs="Arial"/>
          <w:b/>
          <w:lang w:val="en"/>
        </w:rPr>
        <w:t>Establishing and Reviewing Virtual or Remote Court Procedures</w:t>
      </w:r>
    </w:p>
    <w:p w14:paraId="5243FEE7" w14:textId="11FED19C" w:rsidR="00CE0BA0" w:rsidRPr="00CE2CA6" w:rsidRDefault="00CE0BA0" w:rsidP="00CE0BA0">
      <w:pPr>
        <w:spacing w:after="240"/>
        <w:jc w:val="both"/>
        <w:rPr>
          <w:rFonts w:ascii="Arial" w:hAnsi="Arial" w:cs="Arial"/>
          <w:bCs/>
          <w:lang w:val="en"/>
        </w:rPr>
      </w:pPr>
      <w:r w:rsidRPr="00CE2CA6">
        <w:rPr>
          <w:rFonts w:ascii="Arial" w:hAnsi="Arial" w:cs="Arial"/>
          <w:bCs/>
          <w:lang w:val="en"/>
        </w:rPr>
        <w:t xml:space="preserve">Procedures for holding virtual and remote court proceedings </w:t>
      </w:r>
      <w:r w:rsidR="00C3426E" w:rsidRPr="00CE2CA6">
        <w:rPr>
          <w:rFonts w:ascii="Arial" w:hAnsi="Arial" w:cs="Arial"/>
          <w:bCs/>
          <w:lang w:val="en"/>
        </w:rPr>
        <w:t>must take into account</w:t>
      </w:r>
      <w:r w:rsidRPr="00CE2CA6">
        <w:rPr>
          <w:rFonts w:ascii="Arial" w:hAnsi="Arial" w:cs="Arial"/>
          <w:bCs/>
          <w:lang w:val="en"/>
        </w:rPr>
        <w:t xml:space="preserve"> the </w:t>
      </w:r>
      <w:r w:rsidR="00C3426E" w:rsidRPr="00CE2CA6">
        <w:rPr>
          <w:rFonts w:ascii="Arial" w:hAnsi="Arial" w:cs="Arial"/>
          <w:bCs/>
          <w:lang w:val="en"/>
        </w:rPr>
        <w:t xml:space="preserve">complex </w:t>
      </w:r>
      <w:r w:rsidRPr="00CE2CA6">
        <w:rPr>
          <w:rFonts w:ascii="Arial" w:hAnsi="Arial" w:cs="Arial"/>
          <w:bCs/>
          <w:lang w:val="en"/>
        </w:rPr>
        <w:t xml:space="preserve">considerations of </w:t>
      </w:r>
      <w:r w:rsidR="005A5634" w:rsidRPr="00CE2CA6">
        <w:rPr>
          <w:rFonts w:ascii="Arial" w:hAnsi="Arial" w:cs="Arial"/>
          <w:bCs/>
          <w:lang w:val="en"/>
        </w:rPr>
        <w:t xml:space="preserve">participant </w:t>
      </w:r>
      <w:r w:rsidRPr="00CE2CA6">
        <w:rPr>
          <w:rFonts w:ascii="Arial" w:hAnsi="Arial" w:cs="Arial"/>
          <w:bCs/>
          <w:lang w:val="en"/>
        </w:rPr>
        <w:t>access, public access/privacy</w:t>
      </w:r>
      <w:r w:rsidR="00CE46C1">
        <w:rPr>
          <w:rFonts w:ascii="Arial" w:hAnsi="Arial" w:cs="Arial"/>
          <w:bCs/>
          <w:lang w:val="en"/>
        </w:rPr>
        <w:t>,</w:t>
      </w:r>
      <w:r w:rsidRPr="00CE2CA6">
        <w:rPr>
          <w:rFonts w:ascii="Arial" w:hAnsi="Arial" w:cs="Arial"/>
          <w:bCs/>
          <w:lang w:val="en"/>
        </w:rPr>
        <w:t xml:space="preserve"> and attorney/client re</w:t>
      </w:r>
      <w:r w:rsidR="00C3426E" w:rsidRPr="00CE2CA6">
        <w:rPr>
          <w:rFonts w:ascii="Arial" w:hAnsi="Arial" w:cs="Arial"/>
          <w:bCs/>
          <w:lang w:val="en"/>
        </w:rPr>
        <w:t>lationship</w:t>
      </w:r>
      <w:r w:rsidR="00E7346E" w:rsidRPr="00CE2CA6">
        <w:rPr>
          <w:rFonts w:ascii="Arial" w:hAnsi="Arial" w:cs="Arial"/>
          <w:bCs/>
          <w:lang w:val="en"/>
        </w:rPr>
        <w:t>s</w:t>
      </w:r>
      <w:r w:rsidR="00C3426E" w:rsidRPr="00CE2CA6">
        <w:rPr>
          <w:rFonts w:ascii="Arial" w:hAnsi="Arial" w:cs="Arial"/>
          <w:bCs/>
          <w:lang w:val="en"/>
        </w:rPr>
        <w:t>.</w:t>
      </w:r>
      <w:r w:rsidR="005A2E17" w:rsidRPr="00CE2CA6">
        <w:rPr>
          <w:rFonts w:ascii="Arial" w:hAnsi="Arial" w:cs="Arial"/>
          <w:bCs/>
          <w:lang w:val="en"/>
        </w:rPr>
        <w:t xml:space="preserve"> To establish or review such procedures,</w:t>
      </w:r>
      <w:r w:rsidRPr="00CE2CA6">
        <w:rPr>
          <w:rFonts w:ascii="Arial" w:hAnsi="Arial" w:cs="Arial"/>
          <w:bCs/>
          <w:lang w:val="en"/>
        </w:rPr>
        <w:t xml:space="preserve"> </w:t>
      </w:r>
      <w:r w:rsidR="005A2E17" w:rsidRPr="00CE2CA6">
        <w:rPr>
          <w:rFonts w:ascii="Arial" w:hAnsi="Arial" w:cs="Arial"/>
          <w:bCs/>
          <w:lang w:val="en"/>
        </w:rPr>
        <w:t>a</w:t>
      </w:r>
      <w:r w:rsidRPr="00CE2CA6">
        <w:rPr>
          <w:rFonts w:ascii="Arial" w:hAnsi="Arial" w:cs="Arial"/>
          <w:bCs/>
          <w:lang w:val="en"/>
        </w:rPr>
        <w:t xml:space="preserve">s soon as practicable, </w:t>
      </w:r>
      <w:r w:rsidR="003B7D54" w:rsidRPr="00CE2CA6">
        <w:rPr>
          <w:rFonts w:ascii="Arial" w:hAnsi="Arial" w:cs="Arial"/>
          <w:bCs/>
          <w:lang w:val="en"/>
        </w:rPr>
        <w:t xml:space="preserve">each </w:t>
      </w:r>
      <w:r w:rsidR="00F222BA" w:rsidRPr="00CE2CA6">
        <w:rPr>
          <w:rFonts w:ascii="Arial" w:hAnsi="Arial" w:cs="Arial"/>
          <w:bCs/>
          <w:lang w:val="en"/>
        </w:rPr>
        <w:t xml:space="preserve">jurisdiction </w:t>
      </w:r>
      <w:r w:rsidRPr="00CE2CA6">
        <w:rPr>
          <w:rFonts w:ascii="Arial" w:hAnsi="Arial" w:cs="Arial"/>
          <w:bCs/>
          <w:lang w:val="en"/>
        </w:rPr>
        <w:t>should establish a committee or committees to solicit feedback on and review virtual or remote court procedures. Some courts are already taking steps to create such review committees. In England, for example, recognizing that COVID-19 “resulted in significant changes in the operation of the civil justice system, particularly the swift expansion of the use of remote hearings,” the Civil Justice Council established a committee to solicit feedback on remote hearing procedures and “identify areas where additional work may be needed.”</w:t>
      </w:r>
      <w:r w:rsidRPr="00CE2CA6">
        <w:rPr>
          <w:rStyle w:val="FootnoteReference"/>
          <w:rFonts w:ascii="Arial" w:hAnsi="Arial" w:cs="Arial"/>
          <w:bCs/>
          <w:lang w:val="en"/>
        </w:rPr>
        <w:footnoteReference w:id="26"/>
      </w:r>
      <w:r w:rsidRPr="00CE2CA6">
        <w:rPr>
          <w:rFonts w:ascii="Arial" w:hAnsi="Arial" w:cs="Arial"/>
          <w:bCs/>
          <w:lang w:val="en"/>
        </w:rPr>
        <w:t xml:space="preserve"> This is likewise happening in some states in the U</w:t>
      </w:r>
      <w:r w:rsidR="00A011D1">
        <w:rPr>
          <w:rFonts w:ascii="Arial" w:hAnsi="Arial" w:cs="Arial"/>
          <w:bCs/>
          <w:lang w:val="en"/>
        </w:rPr>
        <w:t>.</w:t>
      </w:r>
      <w:r w:rsidRPr="00CE2CA6">
        <w:rPr>
          <w:rFonts w:ascii="Arial" w:hAnsi="Arial" w:cs="Arial"/>
          <w:bCs/>
          <w:lang w:val="en"/>
        </w:rPr>
        <w:t>S</w:t>
      </w:r>
      <w:r w:rsidR="00A011D1">
        <w:rPr>
          <w:rFonts w:ascii="Arial" w:hAnsi="Arial" w:cs="Arial"/>
          <w:bCs/>
          <w:lang w:val="en"/>
        </w:rPr>
        <w:t>.</w:t>
      </w:r>
      <w:r w:rsidR="005F2E29">
        <w:rPr>
          <w:rFonts w:ascii="Arial" w:hAnsi="Arial" w:cs="Arial"/>
          <w:bCs/>
          <w:lang w:val="en"/>
        </w:rPr>
        <w:t>, such as i</w:t>
      </w:r>
      <w:r w:rsidRPr="00CE2CA6">
        <w:rPr>
          <w:rFonts w:ascii="Arial" w:hAnsi="Arial" w:cs="Arial"/>
          <w:bCs/>
          <w:lang w:val="en"/>
        </w:rPr>
        <w:t>n North Carolina</w:t>
      </w:r>
      <w:r w:rsidR="005F2E29">
        <w:rPr>
          <w:rFonts w:ascii="Arial" w:hAnsi="Arial" w:cs="Arial"/>
          <w:bCs/>
          <w:lang w:val="en"/>
        </w:rPr>
        <w:t xml:space="preserve"> where</w:t>
      </w:r>
      <w:r w:rsidRPr="00CE2CA6">
        <w:rPr>
          <w:rFonts w:ascii="Arial" w:hAnsi="Arial" w:cs="Arial"/>
          <w:bCs/>
          <w:lang w:val="en"/>
        </w:rPr>
        <w:t xml:space="preserve"> Chief Justice Cheri Beasley established a Task Force to “recommend directives and policy changes” to court operations.</w:t>
      </w:r>
      <w:r w:rsidRPr="00CE2CA6">
        <w:rPr>
          <w:rStyle w:val="FootnoteReference"/>
          <w:rFonts w:ascii="Arial" w:hAnsi="Arial" w:cs="Arial"/>
          <w:bCs/>
          <w:lang w:val="en"/>
        </w:rPr>
        <w:footnoteReference w:id="27"/>
      </w:r>
      <w:r w:rsidRPr="00CE2CA6">
        <w:rPr>
          <w:rFonts w:ascii="Arial" w:hAnsi="Arial" w:cs="Arial"/>
          <w:bCs/>
          <w:lang w:val="en"/>
        </w:rPr>
        <w:t xml:space="preserve"> </w:t>
      </w:r>
    </w:p>
    <w:p w14:paraId="1596D463" w14:textId="0E6C13A8" w:rsidR="00CE0BA0" w:rsidRPr="00CE2CA6" w:rsidRDefault="00CE0BA0" w:rsidP="00CE0BA0">
      <w:pPr>
        <w:spacing w:after="240"/>
        <w:jc w:val="both"/>
        <w:rPr>
          <w:rFonts w:ascii="Arial" w:hAnsi="Arial" w:cs="Arial"/>
          <w:bCs/>
          <w:lang w:val="en"/>
        </w:rPr>
      </w:pPr>
      <w:r w:rsidRPr="00CE2CA6">
        <w:rPr>
          <w:rFonts w:ascii="Arial" w:hAnsi="Arial" w:cs="Arial"/>
          <w:bCs/>
          <w:lang w:val="en"/>
        </w:rPr>
        <w:t>Separate committees may be necessary to review types of courts and/or court proceedings. For example, “criminal proceedings may present different issues such as the right to confrontation and exchange of signed paperwork during the hearing. Jury trials bring a unique challenge with the involvement of jurors.”</w:t>
      </w:r>
      <w:r w:rsidRPr="00CE2CA6">
        <w:rPr>
          <w:rStyle w:val="FootnoteReference"/>
          <w:rFonts w:ascii="Arial" w:hAnsi="Arial" w:cs="Arial"/>
          <w:bCs/>
          <w:lang w:val="en"/>
        </w:rPr>
        <w:footnoteReference w:id="28"/>
      </w:r>
      <w:r w:rsidRPr="00CE2CA6">
        <w:rPr>
          <w:rFonts w:ascii="Arial" w:hAnsi="Arial" w:cs="Arial"/>
          <w:bCs/>
          <w:lang w:val="en"/>
        </w:rPr>
        <w:t xml:space="preserve"> </w:t>
      </w:r>
    </w:p>
    <w:p w14:paraId="1D38E161" w14:textId="0F58B36C" w:rsidR="00CE0BA0" w:rsidRPr="00CE2CA6" w:rsidRDefault="00CE0BA0" w:rsidP="008C1781">
      <w:pPr>
        <w:spacing w:after="240"/>
        <w:jc w:val="both"/>
        <w:rPr>
          <w:rFonts w:ascii="Arial" w:hAnsi="Arial" w:cs="Arial"/>
          <w:bCs/>
          <w:lang w:val="en"/>
        </w:rPr>
      </w:pPr>
      <w:r w:rsidRPr="00CE2CA6">
        <w:rPr>
          <w:rFonts w:ascii="Arial" w:hAnsi="Arial" w:cs="Arial"/>
          <w:bCs/>
          <w:lang w:val="en"/>
        </w:rPr>
        <w:t>In establishing committee(s) to review virtual or remote court procedures, special care should be taken to include representation and seek feedback from all groups who participate in the procedures</w:t>
      </w:r>
      <w:r w:rsidR="003D2903" w:rsidRPr="00CE2CA6">
        <w:rPr>
          <w:rStyle w:val="FootnoteReference"/>
          <w:rFonts w:ascii="Arial" w:hAnsi="Arial" w:cs="Arial"/>
          <w:bCs/>
          <w:lang w:val="en"/>
        </w:rPr>
        <w:footnoteReference w:id="29"/>
      </w:r>
      <w:r w:rsidRPr="00CE2CA6">
        <w:rPr>
          <w:rFonts w:ascii="Arial" w:hAnsi="Arial" w:cs="Arial"/>
          <w:bCs/>
          <w:lang w:val="en"/>
        </w:rPr>
        <w:t>. In civil cases, this includes not only judges and attorneys, but also court staff, litigant representation</w:t>
      </w:r>
      <w:r w:rsidR="0062766D" w:rsidRPr="00CE2CA6">
        <w:rPr>
          <w:rFonts w:ascii="Arial" w:hAnsi="Arial" w:cs="Arial"/>
          <w:bCs/>
          <w:lang w:val="en"/>
        </w:rPr>
        <w:t>, Access to Justice Commission representation,</w:t>
      </w:r>
      <w:r w:rsidRPr="00CE2CA6">
        <w:rPr>
          <w:rFonts w:ascii="Arial" w:hAnsi="Arial" w:cs="Arial"/>
          <w:bCs/>
          <w:lang w:val="en"/>
        </w:rPr>
        <w:t xml:space="preserve"> and possibly the juror administration officials. </w:t>
      </w:r>
      <w:r w:rsidR="002366F5">
        <w:rPr>
          <w:rFonts w:ascii="Arial" w:hAnsi="Arial" w:cs="Arial"/>
          <w:bCs/>
          <w:lang w:val="en"/>
        </w:rPr>
        <w:t>C</w:t>
      </w:r>
      <w:r w:rsidRPr="00CE2CA6">
        <w:rPr>
          <w:rFonts w:ascii="Arial" w:hAnsi="Arial" w:cs="Arial"/>
          <w:bCs/>
          <w:lang w:val="en"/>
        </w:rPr>
        <w:t xml:space="preserve">ommittees addressing criminal court virtual and remote proceedings, </w:t>
      </w:r>
      <w:r w:rsidR="002366F5">
        <w:rPr>
          <w:rFonts w:ascii="Arial" w:hAnsi="Arial" w:cs="Arial"/>
          <w:bCs/>
          <w:lang w:val="en"/>
        </w:rPr>
        <w:t xml:space="preserve">should include </w:t>
      </w:r>
      <w:r w:rsidR="00695A09" w:rsidRPr="00CE2CA6">
        <w:rPr>
          <w:rFonts w:ascii="Arial" w:hAnsi="Arial" w:cs="Arial"/>
          <w:bCs/>
          <w:lang w:val="en"/>
        </w:rPr>
        <w:t xml:space="preserve">not only </w:t>
      </w:r>
      <w:r w:rsidRPr="00CE2CA6">
        <w:rPr>
          <w:rFonts w:ascii="Arial" w:hAnsi="Arial" w:cs="Arial"/>
          <w:bCs/>
          <w:lang w:val="en"/>
        </w:rPr>
        <w:t xml:space="preserve">judges, public defenders, prosecutors, and private attorneys, but also jail staff, pretrial services, probation and parole services, victims or victims’ representatives, and possibly juror administration </w:t>
      </w:r>
      <w:r w:rsidR="002366F5">
        <w:rPr>
          <w:rFonts w:ascii="Arial" w:hAnsi="Arial" w:cs="Arial"/>
          <w:bCs/>
          <w:lang w:val="en"/>
        </w:rPr>
        <w:t>officials</w:t>
      </w:r>
      <w:r w:rsidRPr="00CE2CA6">
        <w:rPr>
          <w:rFonts w:ascii="Arial" w:hAnsi="Arial" w:cs="Arial"/>
          <w:bCs/>
          <w:lang w:val="en"/>
        </w:rPr>
        <w:t>.</w:t>
      </w:r>
      <w:r w:rsidR="008145F9" w:rsidRPr="00CE2CA6">
        <w:rPr>
          <w:rFonts w:ascii="Arial" w:hAnsi="Arial" w:cs="Arial"/>
          <w:bCs/>
          <w:lang w:val="en"/>
        </w:rPr>
        <w:t xml:space="preserve"> </w:t>
      </w:r>
    </w:p>
    <w:p w14:paraId="659F0AEA" w14:textId="29BE8F06" w:rsidR="00CF334E" w:rsidRPr="00CE2CA6" w:rsidRDefault="00CF334E" w:rsidP="008C1781">
      <w:pPr>
        <w:spacing w:after="240"/>
        <w:jc w:val="both"/>
        <w:rPr>
          <w:rFonts w:ascii="Arial" w:hAnsi="Arial" w:cs="Arial"/>
          <w:b/>
          <w:lang w:val="en"/>
        </w:rPr>
      </w:pPr>
      <w:r w:rsidRPr="00CE2CA6">
        <w:rPr>
          <w:rFonts w:ascii="Arial" w:hAnsi="Arial" w:cs="Arial"/>
          <w:b/>
          <w:lang w:val="en"/>
        </w:rPr>
        <w:t>Encouraging Study of the</w:t>
      </w:r>
      <w:r w:rsidR="00F13090" w:rsidRPr="00CE2CA6">
        <w:rPr>
          <w:rFonts w:ascii="Arial" w:hAnsi="Arial" w:cs="Arial"/>
          <w:b/>
          <w:lang w:val="en"/>
        </w:rPr>
        <w:t xml:space="preserve"> Impacts of Virtual or Remote Court Procedures:</w:t>
      </w:r>
    </w:p>
    <w:p w14:paraId="5AD2BADA" w14:textId="61C6EBA4" w:rsidR="005D1479" w:rsidRPr="00CE2CA6" w:rsidRDefault="00835F5A" w:rsidP="008C1781">
      <w:pPr>
        <w:spacing w:after="240"/>
        <w:jc w:val="both"/>
        <w:rPr>
          <w:rFonts w:ascii="Arial" w:hAnsi="Arial" w:cs="Arial"/>
          <w:bCs/>
          <w:lang w:val="en"/>
        </w:rPr>
      </w:pPr>
      <w:r w:rsidRPr="00CE2CA6">
        <w:rPr>
          <w:rFonts w:ascii="Arial" w:hAnsi="Arial" w:cs="Arial"/>
          <w:bCs/>
          <w:lang w:val="en"/>
        </w:rPr>
        <w:t xml:space="preserve">In addition to </w:t>
      </w:r>
      <w:r w:rsidR="008D6ABE" w:rsidRPr="00CE2CA6">
        <w:rPr>
          <w:rFonts w:ascii="Arial" w:hAnsi="Arial" w:cs="Arial"/>
          <w:bCs/>
          <w:lang w:val="en"/>
        </w:rPr>
        <w:t xml:space="preserve">addressing concerns identified by the diverse participants in courts, jurisdictions should be concerned </w:t>
      </w:r>
      <w:r w:rsidR="00BB4F9C">
        <w:rPr>
          <w:rFonts w:ascii="Arial" w:hAnsi="Arial" w:cs="Arial"/>
          <w:bCs/>
          <w:lang w:val="en"/>
        </w:rPr>
        <w:t>about</w:t>
      </w:r>
      <w:r w:rsidR="008D6ABE" w:rsidRPr="00CE2CA6">
        <w:rPr>
          <w:rFonts w:ascii="Arial" w:hAnsi="Arial" w:cs="Arial"/>
          <w:bCs/>
          <w:lang w:val="en"/>
        </w:rPr>
        <w:t xml:space="preserve"> the potential unseen</w:t>
      </w:r>
      <w:r w:rsidR="00052631" w:rsidRPr="00CE2CA6">
        <w:rPr>
          <w:rFonts w:ascii="Arial" w:hAnsi="Arial" w:cs="Arial"/>
          <w:bCs/>
          <w:lang w:val="en"/>
        </w:rPr>
        <w:t xml:space="preserve"> and inadvertent harms that virtual and remote court procedures could cause. </w:t>
      </w:r>
      <w:r w:rsidR="00BD305D" w:rsidRPr="00CE2CA6">
        <w:rPr>
          <w:rFonts w:ascii="Arial" w:hAnsi="Arial" w:cs="Arial"/>
          <w:bCs/>
          <w:lang w:val="en"/>
        </w:rPr>
        <w:t>Very little is known about the impact of viewing individuals through a screen</w:t>
      </w:r>
      <w:r w:rsidR="00155DD7" w:rsidRPr="00CE2CA6">
        <w:rPr>
          <w:rFonts w:ascii="Arial" w:hAnsi="Arial" w:cs="Arial"/>
          <w:bCs/>
          <w:lang w:val="en"/>
        </w:rPr>
        <w:t>, as opposed to in-person.</w:t>
      </w:r>
      <w:r w:rsidR="00E34F1C" w:rsidRPr="00CE2CA6">
        <w:rPr>
          <w:rFonts w:ascii="Arial" w:hAnsi="Arial" w:cs="Arial"/>
          <w:bCs/>
          <w:lang w:val="en"/>
        </w:rPr>
        <w:t xml:space="preserve"> </w:t>
      </w:r>
      <w:r w:rsidR="00155DD7" w:rsidRPr="00CE2CA6">
        <w:rPr>
          <w:rFonts w:ascii="Arial" w:hAnsi="Arial" w:cs="Arial"/>
          <w:bCs/>
          <w:lang w:val="en"/>
        </w:rPr>
        <w:t>The few studies that have looked at the impact or remote video on court proceedings suggest that</w:t>
      </w:r>
      <w:r w:rsidR="00E34F1C" w:rsidRPr="00CE2CA6">
        <w:rPr>
          <w:rFonts w:ascii="Arial" w:hAnsi="Arial" w:cs="Arial"/>
          <w:bCs/>
          <w:lang w:val="en"/>
        </w:rPr>
        <w:t xml:space="preserve"> that there could be significant impacts on outcome.</w:t>
      </w:r>
    </w:p>
    <w:p w14:paraId="56D45098" w14:textId="72939907" w:rsidR="00835F5A" w:rsidRPr="00CE2CA6" w:rsidRDefault="00B075E5" w:rsidP="008C1781">
      <w:pPr>
        <w:spacing w:after="240"/>
        <w:jc w:val="both"/>
        <w:rPr>
          <w:rFonts w:ascii="Arial" w:hAnsi="Arial" w:cs="Arial"/>
          <w:bCs/>
          <w:lang w:val="en"/>
        </w:rPr>
      </w:pPr>
      <w:r w:rsidRPr="00CE2CA6">
        <w:rPr>
          <w:rFonts w:ascii="Arial" w:hAnsi="Arial" w:cs="Arial"/>
          <w:bCs/>
          <w:lang w:val="en"/>
        </w:rPr>
        <w:t xml:space="preserve">In 1998, </w:t>
      </w:r>
      <w:r w:rsidR="00615A2E" w:rsidRPr="00CE2CA6">
        <w:rPr>
          <w:rFonts w:ascii="Arial" w:hAnsi="Arial" w:cs="Arial"/>
          <w:bCs/>
          <w:lang w:val="en"/>
        </w:rPr>
        <w:t>Cook County, Illinois (</w:t>
      </w:r>
      <w:r w:rsidR="005D1479" w:rsidRPr="00CE2CA6">
        <w:rPr>
          <w:rFonts w:ascii="Arial" w:hAnsi="Arial" w:cs="Arial"/>
          <w:bCs/>
          <w:lang w:val="en"/>
        </w:rPr>
        <w:t>Chicago</w:t>
      </w:r>
      <w:r w:rsidR="00615A2E" w:rsidRPr="00CE2CA6">
        <w:rPr>
          <w:rFonts w:ascii="Arial" w:hAnsi="Arial" w:cs="Arial"/>
          <w:bCs/>
          <w:lang w:val="en"/>
        </w:rPr>
        <w:t>) began holding most bail hearings in felony cases using a closed</w:t>
      </w:r>
      <w:r w:rsidR="00A31A74" w:rsidRPr="00CE2CA6">
        <w:rPr>
          <w:rFonts w:ascii="Arial" w:hAnsi="Arial" w:cs="Arial"/>
          <w:bCs/>
          <w:lang w:val="en"/>
        </w:rPr>
        <w:t>-</w:t>
      </w:r>
      <w:r w:rsidR="00615A2E" w:rsidRPr="00CE2CA6">
        <w:rPr>
          <w:rFonts w:ascii="Arial" w:hAnsi="Arial" w:cs="Arial"/>
          <w:bCs/>
          <w:lang w:val="en"/>
        </w:rPr>
        <w:t xml:space="preserve">circuit television procedure. </w:t>
      </w:r>
      <w:r w:rsidR="00870F84" w:rsidRPr="00CE2CA6">
        <w:rPr>
          <w:rFonts w:ascii="Arial" w:hAnsi="Arial" w:cs="Arial"/>
          <w:bCs/>
          <w:lang w:val="en"/>
        </w:rPr>
        <w:t xml:space="preserve">The defendant remained at the detention center for the bail hearing. A study of the impact of this procedural change was conducted by </w:t>
      </w:r>
      <w:r w:rsidR="00C5034C" w:rsidRPr="00CE2CA6">
        <w:rPr>
          <w:rFonts w:ascii="Arial" w:hAnsi="Arial" w:cs="Arial"/>
          <w:bCs/>
          <w:lang w:val="en"/>
        </w:rPr>
        <w:t xml:space="preserve">a research team from Northwestern University led by </w:t>
      </w:r>
      <w:r w:rsidR="001A0920" w:rsidRPr="00CE2CA6">
        <w:rPr>
          <w:rFonts w:ascii="Arial" w:hAnsi="Arial" w:cs="Arial"/>
          <w:bCs/>
          <w:lang w:val="en"/>
        </w:rPr>
        <w:t>Shari Seidman Diamond.</w:t>
      </w:r>
      <w:r w:rsidR="001A0920" w:rsidRPr="00CE2CA6">
        <w:rPr>
          <w:rStyle w:val="FootnoteReference"/>
          <w:rFonts w:ascii="Arial" w:hAnsi="Arial" w:cs="Arial"/>
          <w:bCs/>
          <w:lang w:val="en"/>
        </w:rPr>
        <w:footnoteReference w:id="30"/>
      </w:r>
      <w:r w:rsidR="005D1479" w:rsidRPr="00CE2CA6">
        <w:rPr>
          <w:rFonts w:ascii="Arial" w:hAnsi="Arial" w:cs="Arial"/>
          <w:bCs/>
          <w:lang w:val="en"/>
        </w:rPr>
        <w:t xml:space="preserve"> </w:t>
      </w:r>
      <w:r w:rsidR="007058BB" w:rsidRPr="00CE2CA6">
        <w:rPr>
          <w:rFonts w:ascii="Arial" w:hAnsi="Arial" w:cs="Arial"/>
          <w:bCs/>
          <w:lang w:val="en"/>
        </w:rPr>
        <w:t>The study con</w:t>
      </w:r>
      <w:r w:rsidR="003072BA" w:rsidRPr="00CE2CA6">
        <w:rPr>
          <w:rFonts w:ascii="Arial" w:hAnsi="Arial" w:cs="Arial"/>
          <w:bCs/>
          <w:lang w:val="en"/>
        </w:rPr>
        <w:t>clud</w:t>
      </w:r>
      <w:r w:rsidR="007058BB" w:rsidRPr="00CE2CA6">
        <w:rPr>
          <w:rFonts w:ascii="Arial" w:hAnsi="Arial" w:cs="Arial"/>
          <w:bCs/>
          <w:lang w:val="en"/>
        </w:rPr>
        <w:t xml:space="preserve">ed that “defendants </w:t>
      </w:r>
      <w:r w:rsidR="00E7011A" w:rsidRPr="00CE2CA6">
        <w:rPr>
          <w:rFonts w:ascii="Arial" w:hAnsi="Arial" w:cs="Arial"/>
          <w:bCs/>
          <w:lang w:val="en"/>
        </w:rPr>
        <w:t xml:space="preserve">were significantly disadvantaged by the videoconferenced bail </w:t>
      </w:r>
      <w:r w:rsidR="006870EB" w:rsidRPr="00CE2CA6">
        <w:rPr>
          <w:rFonts w:ascii="Arial" w:hAnsi="Arial" w:cs="Arial"/>
          <w:bCs/>
          <w:lang w:val="en"/>
        </w:rPr>
        <w:t>proceedings.”</w:t>
      </w:r>
      <w:r w:rsidR="000F10C5" w:rsidRPr="00CE2CA6">
        <w:rPr>
          <w:rStyle w:val="FootnoteReference"/>
          <w:rFonts w:ascii="Arial" w:hAnsi="Arial" w:cs="Arial"/>
          <w:bCs/>
          <w:lang w:val="en"/>
        </w:rPr>
        <w:footnoteReference w:id="31"/>
      </w:r>
      <w:r w:rsidR="006870EB" w:rsidRPr="00CE2CA6">
        <w:rPr>
          <w:rFonts w:ascii="Arial" w:hAnsi="Arial" w:cs="Arial"/>
          <w:bCs/>
          <w:lang w:val="en"/>
        </w:rPr>
        <w:t xml:space="preserve"> Specifically, “[t]he average bond amount for the offenses that shifted to televised hearings increased by an average of 51%</w:t>
      </w:r>
      <w:r w:rsidR="004A67BF" w:rsidRPr="00CE2CA6">
        <w:rPr>
          <w:rFonts w:ascii="Arial" w:hAnsi="Arial" w:cs="Arial"/>
          <w:bCs/>
          <w:lang w:val="en"/>
        </w:rPr>
        <w:t>.”</w:t>
      </w:r>
      <w:r w:rsidR="000F10C5" w:rsidRPr="00CE2CA6">
        <w:rPr>
          <w:rStyle w:val="FootnoteReference"/>
          <w:rFonts w:ascii="Arial" w:hAnsi="Arial" w:cs="Arial"/>
          <w:bCs/>
          <w:lang w:val="en"/>
        </w:rPr>
        <w:footnoteReference w:id="32"/>
      </w:r>
      <w:r w:rsidR="00436BE4" w:rsidRPr="00CE2CA6">
        <w:rPr>
          <w:rFonts w:ascii="Arial" w:hAnsi="Arial" w:cs="Arial"/>
          <w:bCs/>
          <w:lang w:val="en"/>
        </w:rPr>
        <w:t xml:space="preserve"> The </w:t>
      </w:r>
      <w:r w:rsidR="00DA20F5">
        <w:rPr>
          <w:rFonts w:ascii="Arial" w:hAnsi="Arial" w:cs="Arial"/>
          <w:bCs/>
          <w:lang w:val="en"/>
        </w:rPr>
        <w:t>r</w:t>
      </w:r>
      <w:r w:rsidR="00436BE4" w:rsidRPr="00CE2CA6">
        <w:rPr>
          <w:rFonts w:ascii="Arial" w:hAnsi="Arial" w:cs="Arial"/>
          <w:bCs/>
          <w:lang w:val="en"/>
        </w:rPr>
        <w:t>esearchers noted that</w:t>
      </w:r>
      <w:r w:rsidR="004A40B1" w:rsidRPr="00CE2CA6">
        <w:rPr>
          <w:rFonts w:ascii="Arial" w:hAnsi="Arial" w:cs="Arial"/>
          <w:bCs/>
          <w:lang w:val="en"/>
        </w:rPr>
        <w:t xml:space="preserve"> the disparity may </w:t>
      </w:r>
      <w:r w:rsidR="00774961" w:rsidRPr="00CE2CA6">
        <w:rPr>
          <w:rFonts w:ascii="Arial" w:hAnsi="Arial" w:cs="Arial"/>
          <w:bCs/>
          <w:lang w:val="en"/>
        </w:rPr>
        <w:t xml:space="preserve">have </w:t>
      </w:r>
      <w:r w:rsidR="004A40B1" w:rsidRPr="00CE2CA6">
        <w:rPr>
          <w:rFonts w:ascii="Arial" w:hAnsi="Arial" w:cs="Arial"/>
          <w:bCs/>
          <w:lang w:val="en"/>
        </w:rPr>
        <w:t>b</w:t>
      </w:r>
      <w:r w:rsidR="00774961" w:rsidRPr="00CE2CA6">
        <w:rPr>
          <w:rFonts w:ascii="Arial" w:hAnsi="Arial" w:cs="Arial"/>
          <w:bCs/>
          <w:lang w:val="en"/>
        </w:rPr>
        <w:t>e</w:t>
      </w:r>
      <w:r w:rsidR="004A40B1" w:rsidRPr="00CE2CA6">
        <w:rPr>
          <w:rFonts w:ascii="Arial" w:hAnsi="Arial" w:cs="Arial"/>
          <w:bCs/>
          <w:lang w:val="en"/>
        </w:rPr>
        <w:t>e</w:t>
      </w:r>
      <w:r w:rsidR="00774961" w:rsidRPr="00CE2CA6">
        <w:rPr>
          <w:rFonts w:ascii="Arial" w:hAnsi="Arial" w:cs="Arial"/>
          <w:bCs/>
          <w:lang w:val="en"/>
        </w:rPr>
        <w:t>n</w:t>
      </w:r>
      <w:r w:rsidR="004A40B1" w:rsidRPr="00CE2CA6">
        <w:rPr>
          <w:rFonts w:ascii="Arial" w:hAnsi="Arial" w:cs="Arial"/>
          <w:bCs/>
          <w:lang w:val="en"/>
        </w:rPr>
        <w:t>, in part, caused by the quality of the technology</w:t>
      </w:r>
      <w:r w:rsidR="001826E3" w:rsidRPr="00CE2CA6">
        <w:rPr>
          <w:rFonts w:ascii="Arial" w:hAnsi="Arial" w:cs="Arial"/>
          <w:bCs/>
          <w:lang w:val="en"/>
        </w:rPr>
        <w:t>, the lack of “eye contact” caused by watching the screen rather than the camera, the process negatively impacting the ability or willingness of the defendant to speak up during a hearing</w:t>
      </w:r>
      <w:r w:rsidR="009E0422" w:rsidRPr="00CE2CA6">
        <w:rPr>
          <w:rFonts w:ascii="Arial" w:hAnsi="Arial" w:cs="Arial"/>
          <w:bCs/>
          <w:lang w:val="en"/>
        </w:rPr>
        <w:t>, or the negative impact of the proceeding on attorney-client communication.</w:t>
      </w:r>
      <w:r w:rsidR="00774961" w:rsidRPr="00CE2CA6">
        <w:rPr>
          <w:rStyle w:val="FootnoteReference"/>
          <w:rFonts w:ascii="Arial" w:hAnsi="Arial" w:cs="Arial"/>
          <w:bCs/>
          <w:lang w:val="en"/>
        </w:rPr>
        <w:footnoteReference w:id="33"/>
      </w:r>
    </w:p>
    <w:p w14:paraId="2928193B" w14:textId="23ECBB34" w:rsidR="008D7366" w:rsidRPr="00CE2CA6" w:rsidRDefault="00311907" w:rsidP="008C1781">
      <w:pPr>
        <w:spacing w:after="240"/>
        <w:jc w:val="both"/>
        <w:rPr>
          <w:rFonts w:ascii="Arial" w:hAnsi="Arial" w:cs="Arial"/>
          <w:bCs/>
          <w:lang w:val="en"/>
        </w:rPr>
      </w:pPr>
      <w:r w:rsidRPr="00CE2CA6">
        <w:rPr>
          <w:rFonts w:ascii="Arial" w:hAnsi="Arial" w:cs="Arial"/>
          <w:bCs/>
          <w:lang w:val="en"/>
        </w:rPr>
        <w:t>An observational study of teleconferenced immigration hearings found such hearings “a poor substitute for in-person hearings.”</w:t>
      </w:r>
      <w:r w:rsidR="00205F30" w:rsidRPr="00CE2CA6">
        <w:rPr>
          <w:rStyle w:val="FootnoteReference"/>
          <w:rFonts w:ascii="Arial" w:hAnsi="Arial" w:cs="Arial"/>
          <w:bCs/>
          <w:lang w:val="en"/>
        </w:rPr>
        <w:footnoteReference w:id="34"/>
      </w:r>
      <w:r w:rsidRPr="00CE2CA6">
        <w:rPr>
          <w:rFonts w:ascii="Arial" w:hAnsi="Arial" w:cs="Arial"/>
          <w:bCs/>
          <w:lang w:val="en"/>
        </w:rPr>
        <w:t xml:space="preserve"> The study found that </w:t>
      </w:r>
      <w:r w:rsidR="00495F2D" w:rsidRPr="00CE2CA6">
        <w:rPr>
          <w:rFonts w:ascii="Arial" w:hAnsi="Arial" w:cs="Arial"/>
          <w:bCs/>
          <w:lang w:val="en"/>
        </w:rPr>
        <w:t>the use of videoconferences reduced the ability or opportunity of immigrant</w:t>
      </w:r>
      <w:r w:rsidR="00DA20F5">
        <w:rPr>
          <w:rFonts w:ascii="Arial" w:hAnsi="Arial" w:cs="Arial"/>
          <w:bCs/>
          <w:lang w:val="en"/>
        </w:rPr>
        <w:t>s</w:t>
      </w:r>
      <w:r w:rsidR="00495F2D" w:rsidRPr="00CE2CA6">
        <w:rPr>
          <w:rFonts w:ascii="Arial" w:hAnsi="Arial" w:cs="Arial"/>
          <w:bCs/>
          <w:lang w:val="en"/>
        </w:rPr>
        <w:t xml:space="preserve"> to speak or ask questions</w:t>
      </w:r>
      <w:r w:rsidR="00FB5258" w:rsidRPr="00CE2CA6">
        <w:rPr>
          <w:rFonts w:ascii="Arial" w:hAnsi="Arial" w:cs="Arial"/>
          <w:bCs/>
          <w:lang w:val="en"/>
        </w:rPr>
        <w:t xml:space="preserve"> and </w:t>
      </w:r>
      <w:r w:rsidR="00495F2D" w:rsidRPr="00CE2CA6">
        <w:rPr>
          <w:rFonts w:ascii="Arial" w:hAnsi="Arial" w:cs="Arial"/>
          <w:bCs/>
          <w:lang w:val="en"/>
        </w:rPr>
        <w:t>lessened their ability to communi</w:t>
      </w:r>
      <w:r w:rsidR="00FB5258" w:rsidRPr="00CE2CA6">
        <w:rPr>
          <w:rFonts w:ascii="Arial" w:hAnsi="Arial" w:cs="Arial"/>
          <w:bCs/>
          <w:lang w:val="en"/>
        </w:rPr>
        <w:t>cate with their attorneys</w:t>
      </w:r>
      <w:r w:rsidR="00CB2268" w:rsidRPr="00CE2CA6">
        <w:rPr>
          <w:rStyle w:val="FootnoteReference"/>
          <w:rFonts w:ascii="Arial" w:hAnsi="Arial" w:cs="Arial"/>
          <w:bCs/>
          <w:lang w:val="en"/>
        </w:rPr>
        <w:footnoteReference w:id="35"/>
      </w:r>
      <w:r w:rsidR="00FB5258" w:rsidRPr="00CE2CA6">
        <w:rPr>
          <w:rFonts w:ascii="Arial" w:hAnsi="Arial" w:cs="Arial"/>
          <w:bCs/>
          <w:lang w:val="en"/>
        </w:rPr>
        <w:t xml:space="preserve">. The conferences were also </w:t>
      </w:r>
      <w:r w:rsidR="00C601BF" w:rsidRPr="00CE2CA6">
        <w:rPr>
          <w:rFonts w:ascii="Arial" w:hAnsi="Arial" w:cs="Arial"/>
          <w:bCs/>
          <w:lang w:val="en"/>
        </w:rPr>
        <w:t>plagued by technical difficulties, with alm</w:t>
      </w:r>
      <w:r w:rsidR="0034554F" w:rsidRPr="00CE2CA6">
        <w:rPr>
          <w:rFonts w:ascii="Arial" w:hAnsi="Arial" w:cs="Arial"/>
          <w:bCs/>
          <w:lang w:val="en"/>
        </w:rPr>
        <w:t>ost half of observed cases experiencing one or more problem</w:t>
      </w:r>
      <w:r w:rsidR="00B96D02">
        <w:rPr>
          <w:rFonts w:ascii="Arial" w:hAnsi="Arial" w:cs="Arial"/>
          <w:bCs/>
          <w:lang w:val="en"/>
        </w:rPr>
        <w:t>s</w:t>
      </w:r>
      <w:r w:rsidR="0034554F" w:rsidRPr="00CE2CA6">
        <w:rPr>
          <w:rFonts w:ascii="Arial" w:hAnsi="Arial" w:cs="Arial"/>
          <w:bCs/>
          <w:lang w:val="en"/>
        </w:rPr>
        <w:t>.</w:t>
      </w:r>
      <w:r w:rsidR="00AB59DE" w:rsidRPr="00CE2CA6">
        <w:rPr>
          <w:rStyle w:val="FootnoteReference"/>
          <w:rFonts w:ascii="Arial" w:hAnsi="Arial" w:cs="Arial"/>
          <w:bCs/>
          <w:lang w:val="en"/>
        </w:rPr>
        <w:footnoteReference w:id="36"/>
      </w:r>
      <w:r w:rsidR="00FB5258" w:rsidRPr="00CE2CA6">
        <w:rPr>
          <w:rFonts w:ascii="Arial" w:hAnsi="Arial" w:cs="Arial"/>
          <w:bCs/>
          <w:lang w:val="en"/>
        </w:rPr>
        <w:t xml:space="preserve"> </w:t>
      </w:r>
      <w:r w:rsidR="003C5035" w:rsidRPr="00CE2CA6">
        <w:rPr>
          <w:rFonts w:ascii="Arial" w:hAnsi="Arial" w:cs="Arial"/>
          <w:bCs/>
          <w:lang w:val="en"/>
        </w:rPr>
        <w:t>The study called for a “moratorium on videoconferencing in removal cases until it can be improved.”</w:t>
      </w:r>
      <w:r w:rsidR="003C5035" w:rsidRPr="00CE2CA6">
        <w:rPr>
          <w:rStyle w:val="FootnoteReference"/>
          <w:rFonts w:ascii="Arial" w:hAnsi="Arial" w:cs="Arial"/>
          <w:bCs/>
          <w:lang w:val="en"/>
        </w:rPr>
        <w:footnoteReference w:id="37"/>
      </w:r>
      <w:r w:rsidR="003C5035" w:rsidRPr="00CE2CA6">
        <w:rPr>
          <w:rFonts w:ascii="Arial" w:hAnsi="Arial" w:cs="Arial"/>
          <w:bCs/>
          <w:lang w:val="en"/>
        </w:rPr>
        <w:t xml:space="preserve"> </w:t>
      </w:r>
      <w:r w:rsidR="008D7366" w:rsidRPr="00CE2CA6">
        <w:rPr>
          <w:rFonts w:ascii="Arial" w:hAnsi="Arial" w:cs="Arial"/>
          <w:bCs/>
          <w:lang w:val="en"/>
        </w:rPr>
        <w:t xml:space="preserve">A </w:t>
      </w:r>
      <w:r w:rsidR="0034554F" w:rsidRPr="00CE2CA6">
        <w:rPr>
          <w:rFonts w:ascii="Arial" w:hAnsi="Arial" w:cs="Arial"/>
          <w:bCs/>
          <w:lang w:val="en"/>
        </w:rPr>
        <w:t xml:space="preserve">different </w:t>
      </w:r>
      <w:r w:rsidR="008D7366" w:rsidRPr="00CE2CA6">
        <w:rPr>
          <w:rFonts w:ascii="Arial" w:hAnsi="Arial" w:cs="Arial"/>
          <w:bCs/>
          <w:lang w:val="en"/>
        </w:rPr>
        <w:t xml:space="preserve">study of the use of </w:t>
      </w:r>
      <w:r w:rsidR="009A28F9" w:rsidRPr="00CE2CA6">
        <w:rPr>
          <w:rFonts w:ascii="Arial" w:hAnsi="Arial" w:cs="Arial"/>
          <w:bCs/>
          <w:lang w:val="en"/>
        </w:rPr>
        <w:t xml:space="preserve">teleconferencing in </w:t>
      </w:r>
      <w:r w:rsidR="00A178C9" w:rsidRPr="00CE2CA6">
        <w:rPr>
          <w:rFonts w:ascii="Arial" w:hAnsi="Arial" w:cs="Arial"/>
          <w:bCs/>
          <w:lang w:val="en"/>
        </w:rPr>
        <w:t xml:space="preserve">immigration proceedings determined that remote hearings </w:t>
      </w:r>
      <w:r w:rsidR="0034554F" w:rsidRPr="00CE2CA6">
        <w:rPr>
          <w:rFonts w:ascii="Arial" w:hAnsi="Arial" w:cs="Arial"/>
          <w:bCs/>
          <w:lang w:val="en"/>
        </w:rPr>
        <w:t>impacted outcome, lessening the</w:t>
      </w:r>
      <w:r w:rsidR="00A178C9" w:rsidRPr="00CE2CA6">
        <w:rPr>
          <w:rFonts w:ascii="Arial" w:hAnsi="Arial" w:cs="Arial"/>
          <w:bCs/>
          <w:lang w:val="en"/>
        </w:rPr>
        <w:t xml:space="preserve"> likelihood asylum would be granted.</w:t>
      </w:r>
      <w:r w:rsidR="00A178C9" w:rsidRPr="00CE2CA6">
        <w:rPr>
          <w:rStyle w:val="FootnoteReference"/>
          <w:rFonts w:ascii="Arial" w:hAnsi="Arial" w:cs="Arial"/>
          <w:bCs/>
          <w:lang w:val="en"/>
        </w:rPr>
        <w:footnoteReference w:id="38"/>
      </w:r>
      <w:r w:rsidR="008D7366" w:rsidRPr="00CE2CA6">
        <w:rPr>
          <w:rFonts w:ascii="Arial" w:hAnsi="Arial" w:cs="Arial"/>
          <w:bCs/>
          <w:lang w:val="en"/>
        </w:rPr>
        <w:t xml:space="preserve"> </w:t>
      </w:r>
    </w:p>
    <w:p w14:paraId="6C1580E1" w14:textId="4BD67229" w:rsidR="00D96158" w:rsidRPr="00CE2CA6" w:rsidRDefault="00FC3F9E" w:rsidP="008C1781">
      <w:pPr>
        <w:spacing w:after="240"/>
        <w:jc w:val="both"/>
        <w:rPr>
          <w:rFonts w:ascii="Arial" w:hAnsi="Arial" w:cs="Arial"/>
          <w:bCs/>
          <w:lang w:val="en"/>
        </w:rPr>
      </w:pPr>
      <w:r w:rsidRPr="00CE2CA6">
        <w:rPr>
          <w:rFonts w:ascii="Arial" w:hAnsi="Arial" w:cs="Arial"/>
          <w:bCs/>
          <w:lang w:val="en"/>
        </w:rPr>
        <w:t xml:space="preserve">As </w:t>
      </w:r>
      <w:r w:rsidR="00AB1244" w:rsidRPr="00CE2CA6">
        <w:rPr>
          <w:rFonts w:ascii="Arial" w:hAnsi="Arial" w:cs="Arial"/>
          <w:bCs/>
          <w:lang w:val="en"/>
        </w:rPr>
        <w:t>virtual and remote court</w:t>
      </w:r>
      <w:r w:rsidRPr="00CE2CA6">
        <w:rPr>
          <w:rFonts w:ascii="Arial" w:hAnsi="Arial" w:cs="Arial"/>
          <w:bCs/>
          <w:lang w:val="en"/>
        </w:rPr>
        <w:t xml:space="preserve"> procedures are more widely implemented</w:t>
      </w:r>
      <w:r w:rsidR="00AB1244" w:rsidRPr="00CE2CA6">
        <w:rPr>
          <w:rFonts w:ascii="Arial" w:hAnsi="Arial" w:cs="Arial"/>
          <w:bCs/>
          <w:lang w:val="en"/>
        </w:rPr>
        <w:t>,</w:t>
      </w:r>
      <w:r w:rsidRPr="00CE2CA6">
        <w:rPr>
          <w:rFonts w:ascii="Arial" w:hAnsi="Arial" w:cs="Arial"/>
          <w:bCs/>
          <w:lang w:val="en"/>
        </w:rPr>
        <w:t xml:space="preserve"> the need for additional research on the impact of their use</w:t>
      </w:r>
      <w:r w:rsidR="00AB1244" w:rsidRPr="00CE2CA6">
        <w:rPr>
          <w:rFonts w:ascii="Arial" w:hAnsi="Arial" w:cs="Arial"/>
          <w:bCs/>
          <w:lang w:val="en"/>
        </w:rPr>
        <w:t xml:space="preserve"> becomes more acute.</w:t>
      </w:r>
      <w:r w:rsidR="00AB1244" w:rsidRPr="00CE2CA6">
        <w:rPr>
          <w:rStyle w:val="FootnoteReference"/>
          <w:rFonts w:ascii="Arial" w:hAnsi="Arial" w:cs="Arial"/>
          <w:bCs/>
          <w:lang w:val="en"/>
        </w:rPr>
        <w:footnoteReference w:id="39"/>
      </w:r>
      <w:r w:rsidR="00AB1244" w:rsidRPr="00CE2CA6">
        <w:rPr>
          <w:rFonts w:ascii="Arial" w:hAnsi="Arial" w:cs="Arial"/>
          <w:bCs/>
          <w:lang w:val="en"/>
        </w:rPr>
        <w:t xml:space="preserve"> Jurisdictions should, where feasible, conduct such research or, at a minimum, cooperate with re</w:t>
      </w:r>
      <w:r w:rsidR="00F824D5" w:rsidRPr="00CE2CA6">
        <w:rPr>
          <w:rFonts w:ascii="Arial" w:hAnsi="Arial" w:cs="Arial"/>
          <w:bCs/>
          <w:lang w:val="en"/>
        </w:rPr>
        <w:t>searche</w:t>
      </w:r>
      <w:r w:rsidR="00B96D02">
        <w:rPr>
          <w:rFonts w:ascii="Arial" w:hAnsi="Arial" w:cs="Arial"/>
          <w:bCs/>
          <w:lang w:val="en"/>
        </w:rPr>
        <w:t>r</w:t>
      </w:r>
      <w:r w:rsidR="00F824D5" w:rsidRPr="00CE2CA6">
        <w:rPr>
          <w:rFonts w:ascii="Arial" w:hAnsi="Arial" w:cs="Arial"/>
          <w:bCs/>
          <w:lang w:val="en"/>
        </w:rPr>
        <w:t xml:space="preserve">s who wish to study the impact of these procedures on outcomes. Jurisdictions should also review any research when published and </w:t>
      </w:r>
      <w:r w:rsidR="00516594" w:rsidRPr="00CE2CA6">
        <w:rPr>
          <w:rFonts w:ascii="Arial" w:hAnsi="Arial" w:cs="Arial"/>
          <w:bCs/>
          <w:lang w:val="en"/>
        </w:rPr>
        <w:t>halt, adapt or otherwise alter procedures when disparate or harmful impacts are discovered.</w:t>
      </w:r>
    </w:p>
    <w:p w14:paraId="33E771BA" w14:textId="4D4B24EC" w:rsidR="00312523" w:rsidRPr="00CE2CA6" w:rsidRDefault="00CF334E" w:rsidP="008C1781">
      <w:pPr>
        <w:spacing w:after="240"/>
        <w:jc w:val="both"/>
        <w:rPr>
          <w:rFonts w:ascii="Arial" w:hAnsi="Arial" w:cs="Arial"/>
          <w:b/>
          <w:lang w:val="en"/>
        </w:rPr>
      </w:pPr>
      <w:r w:rsidRPr="00CE2CA6">
        <w:rPr>
          <w:rFonts w:ascii="Arial" w:hAnsi="Arial" w:cs="Arial"/>
          <w:b/>
          <w:lang w:val="en"/>
        </w:rPr>
        <w:t>Considerations for Review</w:t>
      </w:r>
      <w:r w:rsidR="0021549C" w:rsidRPr="00CE2CA6">
        <w:rPr>
          <w:rFonts w:ascii="Arial" w:hAnsi="Arial" w:cs="Arial"/>
          <w:b/>
          <w:lang w:val="en"/>
        </w:rPr>
        <w:t>:</w:t>
      </w:r>
    </w:p>
    <w:p w14:paraId="07A37D93" w14:textId="7798218C" w:rsidR="007752B8" w:rsidRPr="00CE2CA6" w:rsidRDefault="00CA5043" w:rsidP="007027D7">
      <w:pPr>
        <w:jc w:val="both"/>
        <w:rPr>
          <w:rFonts w:ascii="Arial" w:hAnsi="Arial" w:cs="Arial"/>
        </w:rPr>
      </w:pPr>
      <w:r w:rsidRPr="00CE2CA6">
        <w:rPr>
          <w:rFonts w:ascii="Arial" w:hAnsi="Arial" w:cs="Arial"/>
          <w:bCs/>
          <w:lang w:val="en"/>
        </w:rPr>
        <w:t xml:space="preserve">The proposed Resolution </w:t>
      </w:r>
      <w:r w:rsidR="006C52B1" w:rsidRPr="00CE2CA6">
        <w:rPr>
          <w:rFonts w:ascii="Arial" w:hAnsi="Arial" w:cs="Arial"/>
          <w:bCs/>
          <w:lang w:val="en"/>
        </w:rPr>
        <w:t xml:space="preserve">highlights certain important criteria that should be considered </w:t>
      </w:r>
      <w:r w:rsidR="004A3858" w:rsidRPr="00CE2CA6">
        <w:rPr>
          <w:rFonts w:ascii="Arial" w:hAnsi="Arial" w:cs="Arial"/>
          <w:bCs/>
          <w:lang w:val="en"/>
        </w:rPr>
        <w:t xml:space="preserve">by </w:t>
      </w:r>
      <w:r w:rsidR="008C74EB" w:rsidRPr="00CE2CA6">
        <w:rPr>
          <w:rFonts w:ascii="Arial" w:hAnsi="Arial" w:cs="Arial"/>
          <w:bCs/>
          <w:lang w:val="en"/>
        </w:rPr>
        <w:t>jurisdictions</w:t>
      </w:r>
      <w:r w:rsidR="004A3858" w:rsidRPr="00CE2CA6">
        <w:rPr>
          <w:rFonts w:ascii="Arial" w:hAnsi="Arial" w:cs="Arial"/>
          <w:bCs/>
          <w:lang w:val="en"/>
        </w:rPr>
        <w:t xml:space="preserve"> </w:t>
      </w:r>
      <w:r w:rsidR="006C52B1" w:rsidRPr="00CE2CA6">
        <w:rPr>
          <w:rFonts w:ascii="Arial" w:hAnsi="Arial" w:cs="Arial"/>
          <w:bCs/>
          <w:lang w:val="en"/>
        </w:rPr>
        <w:t>in evaluating virtual and remote court procedures</w:t>
      </w:r>
      <w:r w:rsidR="009618D5" w:rsidRPr="00CE2CA6">
        <w:rPr>
          <w:rFonts w:ascii="Arial" w:hAnsi="Arial" w:cs="Arial"/>
          <w:bCs/>
          <w:lang w:val="en"/>
        </w:rPr>
        <w:t xml:space="preserve"> </w:t>
      </w:r>
      <w:r w:rsidR="00CB2E12" w:rsidRPr="00CE2CA6">
        <w:rPr>
          <w:rFonts w:ascii="Arial" w:hAnsi="Arial" w:cs="Arial"/>
        </w:rPr>
        <w:t xml:space="preserve">to </w:t>
      </w:r>
      <w:r w:rsidR="00F50C48" w:rsidRPr="00CE2CA6">
        <w:rPr>
          <w:rFonts w:ascii="Arial" w:hAnsi="Arial" w:cs="Arial"/>
        </w:rPr>
        <w:t>guarantee</w:t>
      </w:r>
      <w:r w:rsidR="009618D5" w:rsidRPr="00CE2CA6">
        <w:rPr>
          <w:rFonts w:ascii="Arial" w:hAnsi="Arial" w:cs="Arial"/>
        </w:rPr>
        <w:t xml:space="preserve"> equal access and fundamental fairness</w:t>
      </w:r>
      <w:r w:rsidR="00300280" w:rsidRPr="00CE2CA6">
        <w:rPr>
          <w:rFonts w:ascii="Arial" w:hAnsi="Arial" w:cs="Arial"/>
        </w:rPr>
        <w:t>. Chief among these considerations is tha</w:t>
      </w:r>
      <w:r w:rsidR="009618D5" w:rsidRPr="00CE2CA6">
        <w:rPr>
          <w:rFonts w:ascii="Arial" w:hAnsi="Arial" w:cs="Arial"/>
        </w:rPr>
        <w:t>t virtual or remote proceedings</w:t>
      </w:r>
      <w:r w:rsidR="007027D7" w:rsidRPr="00CE2CA6">
        <w:rPr>
          <w:rFonts w:ascii="Arial" w:hAnsi="Arial" w:cs="Arial"/>
        </w:rPr>
        <w:t xml:space="preserve"> </w:t>
      </w:r>
      <w:r w:rsidR="00300280" w:rsidRPr="00CE2CA6">
        <w:rPr>
          <w:rFonts w:ascii="Arial" w:hAnsi="Arial" w:cs="Arial"/>
        </w:rPr>
        <w:t>should be</w:t>
      </w:r>
      <w:r w:rsidR="009618D5" w:rsidRPr="00CE2CA6">
        <w:rPr>
          <w:rFonts w:ascii="Arial" w:hAnsi="Arial" w:cs="Arial"/>
        </w:rPr>
        <w:t xml:space="preserve"> tailored to the needs of participants and take into account the type of case and proceeding to be conducted, the participants involved, and whether participants are represented by counsel</w:t>
      </w:r>
      <w:r w:rsidR="004A33FD" w:rsidRPr="00CE2CA6">
        <w:rPr>
          <w:rFonts w:ascii="Arial" w:hAnsi="Arial" w:cs="Arial"/>
        </w:rPr>
        <w:t xml:space="preserve">. </w:t>
      </w:r>
      <w:r w:rsidR="001C2BE0" w:rsidRPr="00CE2CA6">
        <w:rPr>
          <w:rFonts w:ascii="Arial" w:hAnsi="Arial" w:cs="Arial"/>
        </w:rPr>
        <w:t>Virtual and remote proceedings, to the extent possible, should be used for essential hearings</w:t>
      </w:r>
      <w:r w:rsidR="00E05952" w:rsidRPr="00CE2CA6">
        <w:rPr>
          <w:rFonts w:ascii="Arial" w:hAnsi="Arial" w:cs="Arial"/>
        </w:rPr>
        <w:t xml:space="preserve">, </w:t>
      </w:r>
      <w:r w:rsidR="00CB4922">
        <w:rPr>
          <w:rFonts w:ascii="Arial" w:hAnsi="Arial" w:cs="Arial"/>
        </w:rPr>
        <w:t xml:space="preserve">such as </w:t>
      </w:r>
      <w:r w:rsidR="00E05952" w:rsidRPr="00CE2CA6">
        <w:rPr>
          <w:rFonts w:ascii="Arial" w:hAnsi="Arial" w:cs="Arial"/>
        </w:rPr>
        <w:t>hearing</w:t>
      </w:r>
      <w:r w:rsidR="000861AC">
        <w:rPr>
          <w:rFonts w:ascii="Arial" w:hAnsi="Arial" w:cs="Arial"/>
        </w:rPr>
        <w:t>s</w:t>
      </w:r>
      <w:r w:rsidR="00E05952" w:rsidRPr="00CE2CA6">
        <w:rPr>
          <w:rFonts w:ascii="Arial" w:hAnsi="Arial" w:cs="Arial"/>
        </w:rPr>
        <w:t xml:space="preserve"> where one or both parties would be negatively impacted by delay. </w:t>
      </w:r>
      <w:r w:rsidR="00935CA3">
        <w:rPr>
          <w:rFonts w:ascii="Arial" w:hAnsi="Arial" w:cs="Arial"/>
        </w:rPr>
        <w:t>Essential hearings</w:t>
      </w:r>
      <w:r w:rsidR="007752B8" w:rsidRPr="00CE2CA6">
        <w:rPr>
          <w:rFonts w:ascii="Arial" w:hAnsi="Arial" w:cs="Arial"/>
        </w:rPr>
        <w:t xml:space="preserve"> would include initial </w:t>
      </w:r>
      <w:r w:rsidR="00090BEB" w:rsidRPr="00CE2CA6">
        <w:rPr>
          <w:rFonts w:ascii="Arial" w:hAnsi="Arial" w:cs="Arial"/>
        </w:rPr>
        <w:t xml:space="preserve">appearances for detained individuals, </w:t>
      </w:r>
      <w:r w:rsidR="00C74C95" w:rsidRPr="00CE2CA6">
        <w:rPr>
          <w:rFonts w:ascii="Arial" w:hAnsi="Arial" w:cs="Arial"/>
        </w:rPr>
        <w:t xml:space="preserve">petitions for protective orders, </w:t>
      </w:r>
      <w:r w:rsidR="00523D05" w:rsidRPr="00CE2CA6">
        <w:rPr>
          <w:rFonts w:ascii="Arial" w:hAnsi="Arial" w:cs="Arial"/>
        </w:rPr>
        <w:t xml:space="preserve">initial hearings in child removal cases, and </w:t>
      </w:r>
      <w:r w:rsidR="00090BEB" w:rsidRPr="00CE2CA6">
        <w:rPr>
          <w:rFonts w:ascii="Arial" w:hAnsi="Arial" w:cs="Arial"/>
        </w:rPr>
        <w:t>emergency requests for release</w:t>
      </w:r>
      <w:r w:rsidR="00C74C95" w:rsidRPr="00CE2CA6">
        <w:rPr>
          <w:rFonts w:ascii="Arial" w:hAnsi="Arial" w:cs="Arial"/>
        </w:rPr>
        <w:t xml:space="preserve"> based on COVID-19 concerns</w:t>
      </w:r>
      <w:r w:rsidR="00523D05" w:rsidRPr="00CE2CA6">
        <w:rPr>
          <w:rFonts w:ascii="Arial" w:hAnsi="Arial" w:cs="Arial"/>
        </w:rPr>
        <w:t>.</w:t>
      </w:r>
      <w:r w:rsidR="007752B8" w:rsidRPr="00CE2CA6">
        <w:rPr>
          <w:rFonts w:ascii="Arial" w:hAnsi="Arial" w:cs="Arial"/>
        </w:rPr>
        <w:t xml:space="preserve"> Virtual and remote proceedings should also proceed where the litigants chose to use the procedures after being </w:t>
      </w:r>
      <w:r w:rsidR="00C8343A" w:rsidRPr="00CE2CA6">
        <w:rPr>
          <w:rFonts w:ascii="Arial" w:hAnsi="Arial" w:cs="Arial"/>
        </w:rPr>
        <w:t xml:space="preserve">fully </w:t>
      </w:r>
      <w:r w:rsidR="007752B8" w:rsidRPr="00CE2CA6">
        <w:rPr>
          <w:rFonts w:ascii="Arial" w:hAnsi="Arial" w:cs="Arial"/>
        </w:rPr>
        <w:t xml:space="preserve">informed </w:t>
      </w:r>
      <w:r w:rsidR="00C8343A" w:rsidRPr="00CE2CA6">
        <w:rPr>
          <w:rFonts w:ascii="Arial" w:hAnsi="Arial" w:cs="Arial"/>
        </w:rPr>
        <w:t>of the manner of the proceeding and the technological requirements for participation.</w:t>
      </w:r>
    </w:p>
    <w:p w14:paraId="13FD0130" w14:textId="77777777" w:rsidR="007752B8" w:rsidRPr="00CE2CA6" w:rsidRDefault="007752B8" w:rsidP="007027D7">
      <w:pPr>
        <w:jc w:val="both"/>
        <w:rPr>
          <w:rFonts w:ascii="Arial" w:hAnsi="Arial" w:cs="Arial"/>
        </w:rPr>
      </w:pPr>
    </w:p>
    <w:p w14:paraId="2CC396FC" w14:textId="2615236E" w:rsidR="009618D5" w:rsidRPr="00CE2CA6" w:rsidRDefault="003D25AA" w:rsidP="007027D7">
      <w:pPr>
        <w:jc w:val="both"/>
        <w:rPr>
          <w:rFonts w:ascii="Arial" w:hAnsi="Arial" w:cs="Arial"/>
        </w:rPr>
      </w:pPr>
      <w:r w:rsidRPr="00CE2CA6">
        <w:rPr>
          <w:rFonts w:ascii="Arial" w:hAnsi="Arial" w:cs="Arial"/>
        </w:rPr>
        <w:t>The Resolution further urges</w:t>
      </w:r>
      <w:r w:rsidR="008C74EB" w:rsidRPr="00CE2CA6">
        <w:rPr>
          <w:rFonts w:ascii="Arial" w:hAnsi="Arial" w:cs="Arial"/>
        </w:rPr>
        <w:t xml:space="preserve"> jurisdictions </w:t>
      </w:r>
      <w:r w:rsidRPr="00CE2CA6">
        <w:rPr>
          <w:rFonts w:ascii="Arial" w:hAnsi="Arial" w:cs="Arial"/>
        </w:rPr>
        <w:t>to</w:t>
      </w:r>
      <w:r w:rsidR="004A33FD" w:rsidRPr="00CE2CA6">
        <w:rPr>
          <w:rFonts w:ascii="Arial" w:hAnsi="Arial" w:cs="Arial"/>
        </w:rPr>
        <w:t>:</w:t>
      </w:r>
    </w:p>
    <w:p w14:paraId="2FB886F9" w14:textId="77777777" w:rsidR="009618D5" w:rsidRPr="00CE2CA6" w:rsidRDefault="009618D5" w:rsidP="009618D5">
      <w:pPr>
        <w:pStyle w:val="ListParagraph"/>
        <w:ind w:left="1080"/>
        <w:jc w:val="both"/>
        <w:rPr>
          <w:rFonts w:ascii="Arial" w:hAnsi="Arial" w:cs="Arial"/>
        </w:rPr>
      </w:pPr>
    </w:p>
    <w:p w14:paraId="6683FACA" w14:textId="706C7255" w:rsidR="009618D5" w:rsidRPr="00CE2CA6" w:rsidRDefault="009618D5" w:rsidP="009618D5">
      <w:pPr>
        <w:pStyle w:val="ListParagraph"/>
        <w:numPr>
          <w:ilvl w:val="0"/>
          <w:numId w:val="10"/>
        </w:numPr>
        <w:jc w:val="both"/>
        <w:rPr>
          <w:rFonts w:ascii="Arial" w:hAnsi="Arial" w:cs="Arial"/>
        </w:rPr>
      </w:pPr>
      <w:r w:rsidRPr="00CE2CA6">
        <w:rPr>
          <w:rFonts w:ascii="Arial" w:hAnsi="Arial" w:cs="Arial"/>
        </w:rPr>
        <w:t>Consider the ability of all participants to access and fully participate in the proceedings, including</w:t>
      </w:r>
      <w:r w:rsidR="000846CD" w:rsidRPr="00CE2CA6">
        <w:rPr>
          <w:rFonts w:ascii="Arial" w:hAnsi="Arial" w:cs="Arial"/>
        </w:rPr>
        <w:t>:</w:t>
      </w:r>
    </w:p>
    <w:p w14:paraId="3FF91D16" w14:textId="06DD8C87" w:rsidR="00D249CC" w:rsidRPr="00CE2CA6" w:rsidRDefault="00D249CC" w:rsidP="00D249CC">
      <w:pPr>
        <w:pStyle w:val="ListParagraph"/>
        <w:numPr>
          <w:ilvl w:val="1"/>
          <w:numId w:val="10"/>
        </w:numPr>
        <w:jc w:val="both"/>
        <w:rPr>
          <w:rFonts w:ascii="Arial" w:hAnsi="Arial" w:cs="Arial"/>
        </w:rPr>
      </w:pPr>
      <w:r w:rsidRPr="00CE2CA6">
        <w:rPr>
          <w:rFonts w:ascii="Arial" w:hAnsi="Arial" w:cs="Arial"/>
        </w:rPr>
        <w:t xml:space="preserve">Ensuring that participation options for virtual or remote court proceedings are free for participants and observers; </w:t>
      </w:r>
    </w:p>
    <w:p w14:paraId="70390EE4" w14:textId="0D4C377B" w:rsidR="009618D5" w:rsidRPr="00CE2CA6" w:rsidRDefault="009618D5" w:rsidP="009618D5">
      <w:pPr>
        <w:pStyle w:val="ListParagraph"/>
        <w:numPr>
          <w:ilvl w:val="1"/>
          <w:numId w:val="10"/>
        </w:numPr>
        <w:jc w:val="both"/>
        <w:rPr>
          <w:rFonts w:ascii="Arial" w:hAnsi="Arial" w:cs="Arial"/>
        </w:rPr>
      </w:pPr>
      <w:r w:rsidRPr="00CE2CA6">
        <w:rPr>
          <w:rFonts w:ascii="Arial" w:hAnsi="Arial" w:cs="Arial"/>
        </w:rPr>
        <w:t>Providing options concerning participation and permitting participants to select the means of participation best suited to them without prejudice;</w:t>
      </w:r>
    </w:p>
    <w:p w14:paraId="2813D47B" w14:textId="77777777" w:rsidR="009618D5" w:rsidRPr="00CE2CA6" w:rsidRDefault="009618D5" w:rsidP="009618D5">
      <w:pPr>
        <w:pStyle w:val="ListParagraph"/>
        <w:numPr>
          <w:ilvl w:val="1"/>
          <w:numId w:val="10"/>
        </w:numPr>
        <w:jc w:val="both"/>
        <w:rPr>
          <w:rFonts w:ascii="Arial" w:hAnsi="Arial" w:cs="Arial"/>
        </w:rPr>
      </w:pPr>
      <w:r w:rsidRPr="00CE2CA6">
        <w:rPr>
          <w:rFonts w:ascii="Arial" w:hAnsi="Arial" w:cs="Arial"/>
        </w:rPr>
        <w:t xml:space="preserve">Allowing participants to alter the means of participation for each proceeding to allow for changes in circumstances; </w:t>
      </w:r>
    </w:p>
    <w:p w14:paraId="1BCB49C1" w14:textId="77777777" w:rsidR="009618D5" w:rsidRPr="00CE2CA6" w:rsidRDefault="009618D5" w:rsidP="009618D5">
      <w:pPr>
        <w:pStyle w:val="ListParagraph"/>
        <w:numPr>
          <w:ilvl w:val="1"/>
          <w:numId w:val="10"/>
        </w:numPr>
        <w:jc w:val="both"/>
        <w:rPr>
          <w:rFonts w:ascii="Arial" w:hAnsi="Arial" w:cs="Arial"/>
        </w:rPr>
      </w:pPr>
      <w:r w:rsidRPr="00CE2CA6">
        <w:rPr>
          <w:rFonts w:ascii="Arial" w:hAnsi="Arial" w:cs="Arial"/>
        </w:rPr>
        <w:t>Providing necessary supports for those who, for financial, technological or other reason, may not be able to fully participate without assistance; and</w:t>
      </w:r>
    </w:p>
    <w:p w14:paraId="60D92723" w14:textId="3D428AE8" w:rsidR="009618D5" w:rsidRPr="00CE2CA6" w:rsidRDefault="009618D5" w:rsidP="009618D5">
      <w:pPr>
        <w:pStyle w:val="ListParagraph"/>
        <w:numPr>
          <w:ilvl w:val="1"/>
          <w:numId w:val="10"/>
        </w:numPr>
        <w:jc w:val="both"/>
        <w:rPr>
          <w:rFonts w:ascii="Arial" w:hAnsi="Arial" w:cs="Arial"/>
        </w:rPr>
      </w:pPr>
      <w:r w:rsidRPr="00CE2CA6">
        <w:rPr>
          <w:rFonts w:ascii="Arial" w:hAnsi="Arial" w:cs="Arial"/>
        </w:rPr>
        <w:t xml:space="preserve">Ensuring that methods of participation reduce, to the fullest extent possible, any prejudice that might result from the circumstances of participation; </w:t>
      </w:r>
    </w:p>
    <w:p w14:paraId="42407E36" w14:textId="04450D0C" w:rsidR="003D25AA" w:rsidRPr="00CE2CA6" w:rsidRDefault="003D25AA" w:rsidP="003D25AA">
      <w:pPr>
        <w:pStyle w:val="ListParagraph"/>
        <w:numPr>
          <w:ilvl w:val="0"/>
          <w:numId w:val="10"/>
        </w:numPr>
        <w:jc w:val="both"/>
        <w:rPr>
          <w:rFonts w:ascii="Arial" w:hAnsi="Arial" w:cs="Arial"/>
        </w:rPr>
      </w:pPr>
      <w:r w:rsidRPr="00CE2CA6">
        <w:rPr>
          <w:rFonts w:ascii="Arial" w:hAnsi="Arial" w:cs="Arial"/>
        </w:rPr>
        <w:t>Enable and encourage full attorney-client relationships, including permitting private consultation both before and during court proceedings</w:t>
      </w:r>
      <w:r w:rsidR="00963634">
        <w:rPr>
          <w:rFonts w:ascii="Arial" w:hAnsi="Arial" w:cs="Arial"/>
        </w:rPr>
        <w:t>; and</w:t>
      </w:r>
    </w:p>
    <w:p w14:paraId="2956DBE9" w14:textId="783B06CE" w:rsidR="000846CD" w:rsidRPr="00CE2CA6" w:rsidRDefault="000846CD" w:rsidP="003D25AA">
      <w:pPr>
        <w:pStyle w:val="ListParagraph"/>
        <w:numPr>
          <w:ilvl w:val="0"/>
          <w:numId w:val="10"/>
        </w:numPr>
        <w:jc w:val="both"/>
        <w:rPr>
          <w:rFonts w:ascii="Arial" w:hAnsi="Arial" w:cs="Arial"/>
        </w:rPr>
      </w:pPr>
      <w:r w:rsidRPr="00CE2CA6">
        <w:rPr>
          <w:rFonts w:ascii="Arial" w:hAnsi="Arial" w:cs="Arial"/>
        </w:rPr>
        <w:t>Establish procedures for ensuring public access</w:t>
      </w:r>
      <w:r w:rsidR="006C6CE2" w:rsidRPr="00CE2CA6">
        <w:rPr>
          <w:rFonts w:ascii="Arial" w:hAnsi="Arial" w:cs="Arial"/>
        </w:rPr>
        <w:t xml:space="preserve"> </w:t>
      </w:r>
      <w:r w:rsidR="00051925" w:rsidRPr="00CE2CA6">
        <w:rPr>
          <w:rFonts w:ascii="Arial" w:hAnsi="Arial" w:cs="Arial"/>
        </w:rPr>
        <w:t>and/</w:t>
      </w:r>
      <w:r w:rsidR="006C6CE2" w:rsidRPr="00CE2CA6">
        <w:rPr>
          <w:rFonts w:ascii="Arial" w:hAnsi="Arial" w:cs="Arial"/>
        </w:rPr>
        <w:t>or privacy of the proceedings</w:t>
      </w:r>
      <w:r w:rsidR="00DE3E34" w:rsidRPr="00CE2CA6">
        <w:rPr>
          <w:rFonts w:ascii="Arial" w:hAnsi="Arial" w:cs="Arial"/>
        </w:rPr>
        <w:t>, as appropriate for the case and proceeding type</w:t>
      </w:r>
      <w:r w:rsidR="00963634">
        <w:rPr>
          <w:rFonts w:ascii="Arial" w:hAnsi="Arial" w:cs="Arial"/>
        </w:rPr>
        <w:t>.</w:t>
      </w:r>
    </w:p>
    <w:p w14:paraId="13F4ABEA" w14:textId="3755CA85" w:rsidR="00F13090" w:rsidRPr="00CE2CA6" w:rsidRDefault="00121D24" w:rsidP="008C1781">
      <w:pPr>
        <w:spacing w:after="240"/>
        <w:jc w:val="both"/>
        <w:rPr>
          <w:rFonts w:ascii="Arial" w:hAnsi="Arial" w:cs="Arial"/>
          <w:bCs/>
          <w:lang w:val="en"/>
        </w:rPr>
      </w:pPr>
      <w:r w:rsidRPr="00CE2CA6">
        <w:rPr>
          <w:rFonts w:ascii="Arial" w:hAnsi="Arial" w:cs="Arial"/>
          <w:bCs/>
          <w:lang w:val="en"/>
        </w:rPr>
        <w:t>Jurisdictions are also</w:t>
      </w:r>
      <w:r w:rsidR="00F13090" w:rsidRPr="00CE2CA6">
        <w:rPr>
          <w:rFonts w:ascii="Arial" w:hAnsi="Arial" w:cs="Arial"/>
          <w:bCs/>
          <w:lang w:val="en"/>
        </w:rPr>
        <w:t xml:space="preserve"> urged to encourage and support the study of virtual and remote court proceedings to determine whether such proceedings </w:t>
      </w:r>
      <w:r w:rsidR="00CB4248" w:rsidRPr="00CE2CA6">
        <w:rPr>
          <w:rFonts w:ascii="Arial" w:hAnsi="Arial" w:cs="Arial"/>
          <w:bCs/>
          <w:lang w:val="en"/>
        </w:rPr>
        <w:t xml:space="preserve">produce bias or disparate impact, and, if so, </w:t>
      </w:r>
      <w:r w:rsidR="00963634">
        <w:rPr>
          <w:rFonts w:ascii="Arial" w:hAnsi="Arial" w:cs="Arial"/>
          <w:bCs/>
          <w:lang w:val="en"/>
        </w:rPr>
        <w:t xml:space="preserve">to </w:t>
      </w:r>
      <w:r w:rsidR="00CB4248" w:rsidRPr="00CE2CA6">
        <w:rPr>
          <w:rFonts w:ascii="Arial" w:hAnsi="Arial" w:cs="Arial"/>
          <w:bCs/>
          <w:lang w:val="en"/>
        </w:rPr>
        <w:t>halt or alter such proceedings</w:t>
      </w:r>
      <w:r w:rsidR="00FB51DB" w:rsidRPr="00CE2CA6">
        <w:rPr>
          <w:rFonts w:ascii="Arial" w:hAnsi="Arial" w:cs="Arial"/>
          <w:bCs/>
          <w:lang w:val="en"/>
        </w:rPr>
        <w:t xml:space="preserve">. </w:t>
      </w:r>
    </w:p>
    <w:p w14:paraId="6E56D76E" w14:textId="5DA70488" w:rsidR="00482F4A" w:rsidRPr="00CE2CA6" w:rsidRDefault="00620F6F" w:rsidP="00974FF8">
      <w:pPr>
        <w:spacing w:after="240"/>
        <w:jc w:val="both"/>
        <w:rPr>
          <w:rFonts w:ascii="Arial" w:hAnsi="Arial" w:cs="Arial"/>
          <w:b/>
          <w:lang w:val="en"/>
        </w:rPr>
      </w:pPr>
      <w:r w:rsidRPr="00CE2CA6">
        <w:rPr>
          <w:rFonts w:ascii="Arial" w:hAnsi="Arial" w:cs="Arial"/>
          <w:b/>
          <w:lang w:val="en"/>
        </w:rPr>
        <w:t>C</w:t>
      </w:r>
      <w:r w:rsidR="00150CDD" w:rsidRPr="00CE2CA6">
        <w:rPr>
          <w:rFonts w:ascii="Arial" w:hAnsi="Arial" w:cs="Arial"/>
          <w:b/>
          <w:lang w:val="en"/>
        </w:rPr>
        <w:t>onclusion</w:t>
      </w:r>
      <w:r w:rsidR="000D7B9D" w:rsidRPr="00CE2CA6">
        <w:rPr>
          <w:rFonts w:ascii="Arial" w:hAnsi="Arial" w:cs="Arial"/>
          <w:b/>
          <w:lang w:val="en"/>
        </w:rPr>
        <w:t>:</w:t>
      </w:r>
    </w:p>
    <w:p w14:paraId="666D960E" w14:textId="37EF874C" w:rsidR="00C646B7" w:rsidRPr="00CE2CA6" w:rsidRDefault="00974FF8" w:rsidP="00974FF8">
      <w:pPr>
        <w:spacing w:after="240"/>
        <w:jc w:val="both"/>
        <w:rPr>
          <w:rFonts w:ascii="Arial" w:hAnsi="Arial" w:cs="Arial"/>
          <w:bCs/>
          <w:lang w:val="en"/>
        </w:rPr>
      </w:pPr>
      <w:r w:rsidRPr="00CE2CA6">
        <w:rPr>
          <w:rFonts w:ascii="Arial" w:hAnsi="Arial" w:cs="Arial"/>
          <w:bCs/>
          <w:lang w:val="en"/>
        </w:rPr>
        <w:t>The COVID-19 pandemic has forced courts to adapt quickly.</w:t>
      </w:r>
      <w:r w:rsidR="00BD4FCB" w:rsidRPr="00CE2CA6">
        <w:rPr>
          <w:rFonts w:ascii="Arial" w:hAnsi="Arial" w:cs="Arial"/>
          <w:bCs/>
          <w:lang w:val="en"/>
        </w:rPr>
        <w:t xml:space="preserve"> </w:t>
      </w:r>
      <w:r w:rsidRPr="00CE2CA6">
        <w:rPr>
          <w:rFonts w:ascii="Arial" w:hAnsi="Arial" w:cs="Arial"/>
          <w:bCs/>
          <w:lang w:val="en"/>
        </w:rPr>
        <w:t xml:space="preserve">Many courts have responded by moving </w:t>
      </w:r>
      <w:r w:rsidR="00CD1590" w:rsidRPr="00CE2CA6">
        <w:rPr>
          <w:rFonts w:ascii="Arial" w:hAnsi="Arial" w:cs="Arial"/>
          <w:bCs/>
          <w:lang w:val="en"/>
        </w:rPr>
        <w:t xml:space="preserve">to remote or virtual court proceedings for essential hearings. Others are considering doing so, and still others are considering further expansions of their platforms. </w:t>
      </w:r>
      <w:r w:rsidR="00C646B7" w:rsidRPr="00CE2CA6">
        <w:rPr>
          <w:rFonts w:ascii="Arial" w:hAnsi="Arial" w:cs="Arial"/>
          <w:bCs/>
          <w:lang w:val="en"/>
        </w:rPr>
        <w:t xml:space="preserve">Such innovation </w:t>
      </w:r>
      <w:r w:rsidR="00163EC0" w:rsidRPr="00CE2CA6">
        <w:rPr>
          <w:rFonts w:ascii="Arial" w:hAnsi="Arial" w:cs="Arial"/>
          <w:bCs/>
          <w:lang w:val="en"/>
        </w:rPr>
        <w:t>is</w:t>
      </w:r>
      <w:r w:rsidR="00C646B7" w:rsidRPr="00CE2CA6">
        <w:rPr>
          <w:rFonts w:ascii="Arial" w:hAnsi="Arial" w:cs="Arial"/>
          <w:bCs/>
          <w:lang w:val="en"/>
        </w:rPr>
        <w:t xml:space="preserve"> necessary to maintain safety during th</w:t>
      </w:r>
      <w:r w:rsidR="0022598E">
        <w:rPr>
          <w:rFonts w:ascii="Arial" w:hAnsi="Arial" w:cs="Arial"/>
          <w:bCs/>
          <w:lang w:val="en"/>
        </w:rPr>
        <w:t>e</w:t>
      </w:r>
      <w:r w:rsidR="00C646B7" w:rsidRPr="00CE2CA6">
        <w:rPr>
          <w:rFonts w:ascii="Arial" w:hAnsi="Arial" w:cs="Arial"/>
          <w:bCs/>
          <w:lang w:val="en"/>
        </w:rPr>
        <w:t xml:space="preserve"> pandemic, but </w:t>
      </w:r>
      <w:r w:rsidR="007447F6" w:rsidRPr="00CE2CA6">
        <w:rPr>
          <w:rFonts w:ascii="Arial" w:hAnsi="Arial" w:cs="Arial"/>
          <w:bCs/>
          <w:lang w:val="en"/>
        </w:rPr>
        <w:t xml:space="preserve">the evaluation of these platforms to ensure that they protect </w:t>
      </w:r>
      <w:r w:rsidR="00B319B6" w:rsidRPr="00CE2CA6">
        <w:rPr>
          <w:rFonts w:ascii="Arial" w:hAnsi="Arial" w:cs="Arial"/>
          <w:bCs/>
          <w:lang w:val="en"/>
        </w:rPr>
        <w:t xml:space="preserve">litigants’ rights and ensure fundamental fairness is </w:t>
      </w:r>
      <w:r w:rsidR="000E404C" w:rsidRPr="00CE2CA6">
        <w:rPr>
          <w:rFonts w:ascii="Arial" w:hAnsi="Arial" w:cs="Arial"/>
          <w:bCs/>
          <w:lang w:val="en"/>
        </w:rPr>
        <w:t>equally important</w:t>
      </w:r>
      <w:r w:rsidR="00B319B6" w:rsidRPr="00CE2CA6">
        <w:rPr>
          <w:rFonts w:ascii="Arial" w:hAnsi="Arial" w:cs="Arial"/>
          <w:bCs/>
          <w:lang w:val="en"/>
        </w:rPr>
        <w:t>.</w:t>
      </w:r>
      <w:r w:rsidR="00156318" w:rsidRPr="00CE2CA6">
        <w:rPr>
          <w:rFonts w:ascii="Arial" w:hAnsi="Arial" w:cs="Arial"/>
          <w:bCs/>
          <w:lang w:val="en"/>
        </w:rPr>
        <w:t xml:space="preserve"> It is incumbent on jurisdictions to conduct this analysis</w:t>
      </w:r>
      <w:r w:rsidR="00990BE6" w:rsidRPr="00CE2CA6">
        <w:rPr>
          <w:rFonts w:ascii="Arial" w:hAnsi="Arial" w:cs="Arial"/>
          <w:bCs/>
          <w:lang w:val="en"/>
        </w:rPr>
        <w:t xml:space="preserve"> and, as necessary, alter their remote or virtual court procedures to ensure full access by participants, encourage and enable attorney-client communications, and appropriately balance public access with </w:t>
      </w:r>
      <w:r w:rsidR="00F75E4D" w:rsidRPr="00CE2CA6">
        <w:rPr>
          <w:rFonts w:ascii="Arial" w:hAnsi="Arial" w:cs="Arial"/>
          <w:bCs/>
          <w:lang w:val="en"/>
        </w:rPr>
        <w:t>privacy concerns.</w:t>
      </w:r>
      <w:r w:rsidR="00156318" w:rsidRPr="00CE2CA6">
        <w:rPr>
          <w:rFonts w:ascii="Arial" w:hAnsi="Arial" w:cs="Arial"/>
          <w:bCs/>
          <w:lang w:val="en"/>
        </w:rPr>
        <w:t xml:space="preserve"> </w:t>
      </w:r>
      <w:r w:rsidR="00061283" w:rsidRPr="00CE2CA6">
        <w:rPr>
          <w:rFonts w:ascii="Arial" w:hAnsi="Arial" w:cs="Arial"/>
          <w:bCs/>
          <w:lang w:val="en"/>
        </w:rPr>
        <w:t>It is also important th</w:t>
      </w:r>
      <w:r w:rsidR="00F75E4D" w:rsidRPr="00CE2CA6">
        <w:rPr>
          <w:rFonts w:ascii="Arial" w:hAnsi="Arial" w:cs="Arial"/>
          <w:bCs/>
          <w:lang w:val="en"/>
        </w:rPr>
        <w:t>at</w:t>
      </w:r>
      <w:r w:rsidR="00061283" w:rsidRPr="00CE2CA6">
        <w:rPr>
          <w:rFonts w:ascii="Arial" w:hAnsi="Arial" w:cs="Arial"/>
          <w:bCs/>
          <w:lang w:val="en"/>
        </w:rPr>
        <w:t xml:space="preserve"> jurisdictions</w:t>
      </w:r>
      <w:r w:rsidR="00156318" w:rsidRPr="00CE2CA6">
        <w:rPr>
          <w:rFonts w:ascii="Arial" w:hAnsi="Arial" w:cs="Arial"/>
          <w:bCs/>
          <w:lang w:val="en"/>
        </w:rPr>
        <w:t xml:space="preserve"> encourage</w:t>
      </w:r>
      <w:r w:rsidR="00F75E4D" w:rsidRPr="00CE2CA6">
        <w:rPr>
          <w:rFonts w:ascii="Arial" w:hAnsi="Arial" w:cs="Arial"/>
          <w:bCs/>
          <w:lang w:val="en"/>
        </w:rPr>
        <w:t xml:space="preserve"> and support</w:t>
      </w:r>
      <w:r w:rsidR="00156318" w:rsidRPr="00CE2CA6">
        <w:rPr>
          <w:rFonts w:ascii="Arial" w:hAnsi="Arial" w:cs="Arial"/>
          <w:bCs/>
          <w:lang w:val="en"/>
        </w:rPr>
        <w:t xml:space="preserve"> </w:t>
      </w:r>
      <w:r w:rsidR="00061283" w:rsidRPr="00CE2CA6">
        <w:rPr>
          <w:rFonts w:ascii="Arial" w:hAnsi="Arial" w:cs="Arial"/>
          <w:bCs/>
          <w:lang w:val="en"/>
        </w:rPr>
        <w:t xml:space="preserve">further in-depth study </w:t>
      </w:r>
      <w:r w:rsidR="00156318" w:rsidRPr="00CE2CA6">
        <w:rPr>
          <w:rFonts w:ascii="Arial" w:hAnsi="Arial" w:cs="Arial"/>
          <w:bCs/>
          <w:lang w:val="en"/>
        </w:rPr>
        <w:t xml:space="preserve">of </w:t>
      </w:r>
      <w:r w:rsidR="00061283" w:rsidRPr="00CE2CA6">
        <w:rPr>
          <w:rFonts w:ascii="Arial" w:hAnsi="Arial" w:cs="Arial"/>
          <w:bCs/>
          <w:lang w:val="en"/>
        </w:rPr>
        <w:t>the impacts of these procedures</w:t>
      </w:r>
      <w:r w:rsidR="00156318" w:rsidRPr="00CE2CA6">
        <w:rPr>
          <w:rFonts w:ascii="Arial" w:hAnsi="Arial" w:cs="Arial"/>
          <w:bCs/>
          <w:lang w:val="en"/>
        </w:rPr>
        <w:t xml:space="preserve"> to determine if they, unwittingly, produce bias or disparate impacts.</w:t>
      </w:r>
      <w:r w:rsidR="00B319B6" w:rsidRPr="00CE2CA6">
        <w:rPr>
          <w:rFonts w:ascii="Arial" w:hAnsi="Arial" w:cs="Arial"/>
          <w:bCs/>
          <w:lang w:val="en"/>
        </w:rPr>
        <w:t xml:space="preserve"> </w:t>
      </w:r>
    </w:p>
    <w:p w14:paraId="79ED7C87" w14:textId="77777777" w:rsidR="00482F4A" w:rsidRPr="00CE2CA6" w:rsidRDefault="00482F4A" w:rsidP="00482F4A">
      <w:pPr>
        <w:jc w:val="both"/>
        <w:rPr>
          <w:rFonts w:ascii="Arial" w:hAnsi="Arial" w:cs="Arial"/>
          <w:lang w:val="en"/>
        </w:rPr>
      </w:pPr>
    </w:p>
    <w:p w14:paraId="26CF2FCB" w14:textId="77777777" w:rsidR="00482F4A" w:rsidRPr="00CE2CA6" w:rsidRDefault="00482F4A" w:rsidP="00482F4A">
      <w:pPr>
        <w:jc w:val="both"/>
        <w:rPr>
          <w:rFonts w:ascii="Arial" w:hAnsi="Arial" w:cs="Arial"/>
          <w:lang w:val="en"/>
        </w:rPr>
      </w:pPr>
    </w:p>
    <w:p w14:paraId="542BE322" w14:textId="77777777" w:rsidR="00730FE5" w:rsidRPr="00CE2CA6" w:rsidRDefault="00730FE5" w:rsidP="00730FE5">
      <w:pPr>
        <w:spacing w:line="360" w:lineRule="auto"/>
        <w:jc w:val="both"/>
        <w:rPr>
          <w:rFonts w:ascii="Arial" w:hAnsi="Arial" w:cs="Arial"/>
          <w:lang w:val="en"/>
        </w:rPr>
      </w:pPr>
    </w:p>
    <w:p w14:paraId="32B56346" w14:textId="77777777" w:rsidR="006750E6" w:rsidRPr="00CE2CA6" w:rsidRDefault="006750E6" w:rsidP="006D09D4">
      <w:pPr>
        <w:jc w:val="center"/>
        <w:rPr>
          <w:rFonts w:ascii="Arial" w:hAnsi="Arial" w:cs="Arial"/>
          <w:b/>
          <w:u w:val="single"/>
        </w:rPr>
      </w:pPr>
    </w:p>
    <w:p w14:paraId="73AE38B0" w14:textId="77777777" w:rsidR="005E3709" w:rsidRPr="00CE2CA6" w:rsidRDefault="005E3709" w:rsidP="006D09D4">
      <w:pPr>
        <w:jc w:val="center"/>
        <w:rPr>
          <w:rFonts w:ascii="Arial" w:hAnsi="Arial" w:cs="Arial"/>
          <w:b/>
          <w:u w:val="single"/>
        </w:rPr>
      </w:pPr>
    </w:p>
    <w:p w14:paraId="7DC1A3FB" w14:textId="6A2B334E" w:rsidR="005E3709" w:rsidRPr="00CE2CA6" w:rsidRDefault="005E3709" w:rsidP="005E3709">
      <w:pPr>
        <w:spacing w:before="200" w:line="240" w:lineRule="exact"/>
        <w:ind w:left="5130"/>
        <w:textAlignment w:val="baseline"/>
        <w:rPr>
          <w:rFonts w:ascii="Arial" w:eastAsia="Arial" w:hAnsi="Arial" w:cs="Arial"/>
          <w:color w:val="000000"/>
          <w:spacing w:val="-2"/>
        </w:rPr>
      </w:pPr>
      <w:r w:rsidRPr="00CE2CA6">
        <w:rPr>
          <w:rFonts w:ascii="Arial" w:eastAsia="Arial" w:hAnsi="Arial" w:cs="Arial"/>
          <w:color w:val="000000"/>
          <w:spacing w:val="-2"/>
        </w:rPr>
        <w:t xml:space="preserve">Respectfully submitted, </w:t>
      </w:r>
    </w:p>
    <w:p w14:paraId="165C29FB" w14:textId="5870BAE1" w:rsidR="00E16640" w:rsidRPr="00CE2CA6" w:rsidRDefault="000062C9" w:rsidP="005E3709">
      <w:pPr>
        <w:spacing w:before="200" w:line="240" w:lineRule="exact"/>
        <w:ind w:left="5130"/>
        <w:textAlignment w:val="baseline"/>
        <w:rPr>
          <w:rFonts w:ascii="Arial" w:eastAsia="Arial" w:hAnsi="Arial" w:cs="Arial"/>
          <w:color w:val="000000"/>
          <w:spacing w:val="-2"/>
        </w:rPr>
      </w:pPr>
      <w:r w:rsidRPr="00CE2CA6">
        <w:rPr>
          <w:rFonts w:ascii="Arial" w:eastAsia="Arial" w:hAnsi="Arial" w:cs="Arial"/>
          <w:color w:val="000000"/>
          <w:spacing w:val="-2"/>
        </w:rPr>
        <w:t>Theodore Howard</w:t>
      </w:r>
    </w:p>
    <w:p w14:paraId="07BF25D4" w14:textId="3DFF6C94" w:rsidR="00E16640" w:rsidRPr="00CE2CA6" w:rsidRDefault="00E16640" w:rsidP="005E3709">
      <w:pPr>
        <w:spacing w:before="200" w:line="240" w:lineRule="exact"/>
        <w:ind w:left="5130"/>
        <w:textAlignment w:val="baseline"/>
        <w:rPr>
          <w:rFonts w:ascii="Arial" w:eastAsia="Arial" w:hAnsi="Arial" w:cs="Arial"/>
          <w:color w:val="000000"/>
          <w:spacing w:val="-2"/>
        </w:rPr>
      </w:pPr>
      <w:r w:rsidRPr="00CE2CA6">
        <w:rPr>
          <w:rFonts w:ascii="Arial" w:eastAsia="Arial" w:hAnsi="Arial" w:cs="Arial"/>
          <w:color w:val="000000"/>
          <w:spacing w:val="-2"/>
        </w:rPr>
        <w:t xml:space="preserve">Chair, </w:t>
      </w:r>
      <w:r w:rsidR="000062C9" w:rsidRPr="00CE2CA6">
        <w:rPr>
          <w:rFonts w:ascii="Arial" w:eastAsia="Arial" w:hAnsi="Arial" w:cs="Arial"/>
          <w:color w:val="000000"/>
          <w:spacing w:val="-2"/>
        </w:rPr>
        <w:t>Standing Committee on Legal Aid and Indigent Def</w:t>
      </w:r>
      <w:r w:rsidR="00C76F28" w:rsidRPr="00CE2CA6">
        <w:rPr>
          <w:rFonts w:ascii="Arial" w:eastAsia="Arial" w:hAnsi="Arial" w:cs="Arial"/>
          <w:color w:val="000000"/>
          <w:spacing w:val="-2"/>
        </w:rPr>
        <w:t>e</w:t>
      </w:r>
      <w:r w:rsidR="000062C9" w:rsidRPr="00CE2CA6">
        <w:rPr>
          <w:rFonts w:ascii="Arial" w:eastAsia="Arial" w:hAnsi="Arial" w:cs="Arial"/>
          <w:color w:val="000000"/>
          <w:spacing w:val="-2"/>
        </w:rPr>
        <w:t>ndants</w:t>
      </w:r>
    </w:p>
    <w:p w14:paraId="08BCD1B1" w14:textId="77777777" w:rsidR="005E3709" w:rsidRPr="00CE2CA6" w:rsidRDefault="005E3709" w:rsidP="005E3709">
      <w:pPr>
        <w:spacing w:before="200" w:line="240" w:lineRule="exact"/>
        <w:ind w:left="5130"/>
        <w:textAlignment w:val="baseline"/>
        <w:rPr>
          <w:rFonts w:ascii="Arial" w:eastAsia="Arial" w:hAnsi="Arial" w:cs="Arial"/>
          <w:color w:val="000000"/>
          <w:spacing w:val="-2"/>
        </w:rPr>
      </w:pPr>
    </w:p>
    <w:p w14:paraId="567F8F84" w14:textId="77777777" w:rsidR="005B56A4" w:rsidRPr="00CE2CA6" w:rsidRDefault="005B56A4" w:rsidP="005E3709">
      <w:pPr>
        <w:ind w:left="5130"/>
        <w:textAlignment w:val="baseline"/>
        <w:rPr>
          <w:rFonts w:ascii="Arial" w:eastAsia="Arial" w:hAnsi="Arial" w:cs="Arial"/>
          <w:color w:val="000000"/>
          <w:spacing w:val="-2"/>
        </w:rPr>
      </w:pPr>
    </w:p>
    <w:p w14:paraId="76B19743" w14:textId="77777777" w:rsidR="006750E6" w:rsidRPr="00CE2CA6" w:rsidRDefault="00515FEE" w:rsidP="006D09D4">
      <w:pPr>
        <w:jc w:val="center"/>
        <w:rPr>
          <w:rFonts w:ascii="Arial" w:hAnsi="Arial" w:cs="Arial"/>
          <w:b/>
          <w:u w:val="single"/>
        </w:rPr>
      </w:pPr>
      <w:r w:rsidRPr="00CE2CA6">
        <w:rPr>
          <w:rFonts w:ascii="Arial" w:eastAsia="Arial" w:hAnsi="Arial" w:cs="Arial"/>
          <w:color w:val="000000"/>
          <w:spacing w:val="-2"/>
          <w:highlight w:val="yellow"/>
        </w:rPr>
        <w:br w:type="page"/>
      </w:r>
      <w:r w:rsidR="006750E6" w:rsidRPr="00CE2CA6">
        <w:rPr>
          <w:rFonts w:ascii="Arial" w:hAnsi="Arial" w:cs="Arial"/>
          <w:b/>
          <w:u w:val="single"/>
        </w:rPr>
        <w:t>GENERAL INFORMATION FORM</w:t>
      </w:r>
    </w:p>
    <w:p w14:paraId="1604DD27" w14:textId="77777777" w:rsidR="006750E6" w:rsidRPr="00CE2CA6" w:rsidRDefault="006750E6" w:rsidP="006D09D4">
      <w:pPr>
        <w:jc w:val="center"/>
        <w:rPr>
          <w:rFonts w:ascii="Arial" w:hAnsi="Arial" w:cs="Arial"/>
          <w:b/>
          <w:u w:val="single"/>
        </w:rPr>
      </w:pPr>
    </w:p>
    <w:p w14:paraId="53A4E5BA" w14:textId="38FA3A4F" w:rsidR="006750E6" w:rsidRPr="00CE2CA6"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E2CA6">
        <w:rPr>
          <w:rFonts w:ascii="Arial" w:hAnsi="Arial" w:cs="Arial"/>
        </w:rPr>
        <w:t xml:space="preserve">Submitting Entity: </w:t>
      </w:r>
      <w:r w:rsidR="000062C9" w:rsidRPr="00CE2CA6">
        <w:rPr>
          <w:rFonts w:ascii="Arial" w:hAnsi="Arial" w:cs="Arial"/>
        </w:rPr>
        <w:t>Standing Committee on Legal Aid and Indigent Defendants</w:t>
      </w:r>
    </w:p>
    <w:p w14:paraId="780DF220" w14:textId="77777777" w:rsidR="006750E6" w:rsidRPr="00CE2CA6"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A0EA27F" w14:textId="2C16FEDB" w:rsidR="006750E6" w:rsidRPr="00CE2CA6"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
        </w:rPr>
      </w:pPr>
      <w:r w:rsidRPr="00CE2CA6">
        <w:rPr>
          <w:rFonts w:ascii="Arial" w:hAnsi="Arial" w:cs="Arial"/>
        </w:rPr>
        <w:t xml:space="preserve">Submitted By: </w:t>
      </w:r>
      <w:r w:rsidR="000062C9" w:rsidRPr="00CE2CA6">
        <w:rPr>
          <w:rFonts w:ascii="Arial" w:hAnsi="Arial" w:cs="Arial"/>
        </w:rPr>
        <w:t>Theodore Howard</w:t>
      </w:r>
      <w:r w:rsidR="00FF4E10" w:rsidRPr="00CE2CA6">
        <w:rPr>
          <w:rFonts w:ascii="Arial" w:hAnsi="Arial" w:cs="Arial"/>
        </w:rPr>
        <w:t>, Chair</w:t>
      </w:r>
    </w:p>
    <w:p w14:paraId="2E7CB921" w14:textId="77777777" w:rsidR="005B56A4" w:rsidRPr="00CE2CA6" w:rsidRDefault="005B56A4"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E2CA6">
        <w:rPr>
          <w:rFonts w:ascii="Arial" w:hAnsi="Arial" w:cs="Arial"/>
        </w:rPr>
        <w:tab/>
      </w:r>
      <w:r w:rsidRPr="00CE2CA6">
        <w:rPr>
          <w:rFonts w:ascii="Arial" w:hAnsi="Arial" w:cs="Arial"/>
        </w:rPr>
        <w:tab/>
      </w:r>
    </w:p>
    <w:p w14:paraId="01D6FC69" w14:textId="77777777" w:rsidR="006750E6" w:rsidRPr="00CE2CA6"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F9DFE52" w14:textId="6DF9651C" w:rsidR="006750E6" w:rsidRPr="00CE2CA6" w:rsidRDefault="006750E6" w:rsidP="009D569C">
      <w:pPr>
        <w:widowControl w:val="0"/>
        <w:numPr>
          <w:ilvl w:val="0"/>
          <w:numId w:val="1"/>
        </w:numPr>
        <w:tabs>
          <w:tab w:val="clear" w:pos="720"/>
        </w:tabs>
        <w:autoSpaceDE w:val="0"/>
        <w:autoSpaceDN w:val="0"/>
        <w:adjustRightInd w:val="0"/>
        <w:ind w:left="360"/>
        <w:rPr>
          <w:rFonts w:ascii="Arial" w:hAnsi="Arial" w:cs="Arial"/>
        </w:rPr>
      </w:pPr>
      <w:r w:rsidRPr="00CE2CA6">
        <w:rPr>
          <w:rFonts w:ascii="Arial" w:hAnsi="Arial" w:cs="Arial"/>
          <w:u w:val="single"/>
        </w:rPr>
        <w:t>Summary of Resolution(s)</w:t>
      </w:r>
      <w:r w:rsidRPr="00CE2CA6">
        <w:rPr>
          <w:rFonts w:ascii="Arial" w:hAnsi="Arial" w:cs="Arial"/>
        </w:rPr>
        <w:t xml:space="preserve">. </w:t>
      </w:r>
      <w:r w:rsidR="007327CD" w:rsidRPr="00CE2CA6">
        <w:rPr>
          <w:rFonts w:ascii="Arial" w:hAnsi="Arial" w:cs="Arial"/>
        </w:rPr>
        <w:t xml:space="preserve">The Resolution calls </w:t>
      </w:r>
      <w:r w:rsidR="00B2097D" w:rsidRPr="00CE2CA6">
        <w:rPr>
          <w:rFonts w:ascii="Arial" w:hAnsi="Arial" w:cs="Arial"/>
        </w:rPr>
        <w:t xml:space="preserve">upon jurisdictions to create commissions to evaluate and revise virtual and remote court proceedings implemented during the COVID-19 crisis and provides a set of criteria to be considered during that review.  </w:t>
      </w:r>
    </w:p>
    <w:p w14:paraId="5B324FC7" w14:textId="77777777" w:rsidR="006750E6" w:rsidRPr="00CE2CA6" w:rsidRDefault="006750E6" w:rsidP="00C3764C">
      <w:pPr>
        <w:tabs>
          <w:tab w:val="left" w:pos="720"/>
        </w:tabs>
        <w:ind w:left="360"/>
        <w:rPr>
          <w:rFonts w:ascii="Arial" w:hAnsi="Arial" w:cs="Arial"/>
        </w:rPr>
      </w:pPr>
    </w:p>
    <w:p w14:paraId="342B7AC8" w14:textId="2AB4E55E" w:rsidR="006750E6" w:rsidRPr="00CE2CA6" w:rsidRDefault="006750E6" w:rsidP="00C3764C">
      <w:pPr>
        <w:widowControl w:val="0"/>
        <w:numPr>
          <w:ilvl w:val="0"/>
          <w:numId w:val="1"/>
        </w:numPr>
        <w:tabs>
          <w:tab w:val="clear" w:pos="720"/>
        </w:tabs>
        <w:autoSpaceDE w:val="0"/>
        <w:autoSpaceDN w:val="0"/>
        <w:adjustRightInd w:val="0"/>
        <w:ind w:left="360"/>
        <w:rPr>
          <w:rFonts w:ascii="Arial" w:hAnsi="Arial" w:cs="Arial"/>
        </w:rPr>
      </w:pPr>
      <w:r w:rsidRPr="00CE2CA6">
        <w:rPr>
          <w:rFonts w:ascii="Arial" w:hAnsi="Arial" w:cs="Arial"/>
          <w:u w:val="single"/>
        </w:rPr>
        <w:t>Approval by Submitting Entity</w:t>
      </w:r>
      <w:r w:rsidRPr="00CE2CA6">
        <w:rPr>
          <w:rFonts w:ascii="Arial" w:hAnsi="Arial" w:cs="Arial"/>
        </w:rPr>
        <w:t xml:space="preserve">. </w:t>
      </w:r>
    </w:p>
    <w:p w14:paraId="03121D4E" w14:textId="28746972" w:rsidR="006750E6" w:rsidRPr="00CE2CA6" w:rsidRDefault="005F592F" w:rsidP="00C3764C">
      <w:pPr>
        <w:tabs>
          <w:tab w:val="left" w:pos="720"/>
        </w:tabs>
        <w:ind w:left="360"/>
        <w:rPr>
          <w:rFonts w:ascii="Arial" w:hAnsi="Arial" w:cs="Arial"/>
        </w:rPr>
      </w:pPr>
      <w:r w:rsidRPr="00CE2CA6">
        <w:rPr>
          <w:rFonts w:ascii="Arial" w:hAnsi="Arial" w:cs="Arial"/>
        </w:rPr>
        <w:t>May 5, 2020</w:t>
      </w:r>
    </w:p>
    <w:p w14:paraId="68FAFA39" w14:textId="77777777" w:rsidR="006750E6" w:rsidRPr="00CE2CA6" w:rsidRDefault="006750E6" w:rsidP="00C3764C">
      <w:pPr>
        <w:tabs>
          <w:tab w:val="left" w:pos="720"/>
        </w:tabs>
        <w:ind w:left="360"/>
        <w:rPr>
          <w:rFonts w:ascii="Arial" w:hAnsi="Arial" w:cs="Arial"/>
        </w:rPr>
      </w:pPr>
    </w:p>
    <w:p w14:paraId="7F5E4215" w14:textId="778E37F3" w:rsidR="006750E6" w:rsidRPr="00CE2CA6" w:rsidRDefault="006750E6" w:rsidP="00C3764C">
      <w:pPr>
        <w:widowControl w:val="0"/>
        <w:numPr>
          <w:ilvl w:val="0"/>
          <w:numId w:val="1"/>
        </w:numPr>
        <w:tabs>
          <w:tab w:val="clear" w:pos="720"/>
        </w:tabs>
        <w:autoSpaceDE w:val="0"/>
        <w:autoSpaceDN w:val="0"/>
        <w:adjustRightInd w:val="0"/>
        <w:ind w:left="360"/>
        <w:rPr>
          <w:rFonts w:ascii="Arial" w:hAnsi="Arial" w:cs="Arial"/>
        </w:rPr>
      </w:pPr>
      <w:r w:rsidRPr="00CE2CA6">
        <w:rPr>
          <w:rFonts w:ascii="Arial" w:hAnsi="Arial" w:cs="Arial"/>
          <w:u w:val="single"/>
        </w:rPr>
        <w:t>Has this or a similar resolution been submitted to the House or Board previously</w:t>
      </w:r>
      <w:r w:rsidRPr="00CE2CA6">
        <w:rPr>
          <w:rFonts w:ascii="Arial" w:hAnsi="Arial" w:cs="Arial"/>
        </w:rPr>
        <w:t xml:space="preserve">? </w:t>
      </w:r>
      <w:r w:rsidR="008D4CB5">
        <w:rPr>
          <w:rFonts w:ascii="Arial" w:hAnsi="Arial" w:cs="Arial"/>
        </w:rPr>
        <w:t>No.</w:t>
      </w:r>
    </w:p>
    <w:p w14:paraId="5E1A2D9E" w14:textId="77777777" w:rsidR="006750E6" w:rsidRPr="00CE2CA6" w:rsidRDefault="006750E6" w:rsidP="00C3764C">
      <w:pPr>
        <w:tabs>
          <w:tab w:val="left" w:pos="720"/>
        </w:tabs>
        <w:ind w:left="360"/>
        <w:rPr>
          <w:rFonts w:ascii="Arial" w:hAnsi="Arial" w:cs="Arial"/>
        </w:rPr>
      </w:pPr>
    </w:p>
    <w:p w14:paraId="2D54E855" w14:textId="77777777" w:rsidR="006750E6" w:rsidRPr="00CE2CA6" w:rsidRDefault="006750E6" w:rsidP="00C3764C">
      <w:pPr>
        <w:tabs>
          <w:tab w:val="left" w:pos="720"/>
        </w:tabs>
        <w:ind w:left="360"/>
        <w:rPr>
          <w:rFonts w:ascii="Arial" w:hAnsi="Arial" w:cs="Arial"/>
        </w:rPr>
      </w:pPr>
    </w:p>
    <w:p w14:paraId="2D61C7DE" w14:textId="528BF9E9" w:rsidR="006750E6" w:rsidRPr="00CE2CA6" w:rsidRDefault="00C3764C" w:rsidP="00DC5D03">
      <w:pPr>
        <w:widowControl w:val="0"/>
        <w:numPr>
          <w:ilvl w:val="0"/>
          <w:numId w:val="1"/>
        </w:numPr>
        <w:tabs>
          <w:tab w:val="clear" w:pos="720"/>
        </w:tabs>
        <w:autoSpaceDE w:val="0"/>
        <w:autoSpaceDN w:val="0"/>
        <w:adjustRightInd w:val="0"/>
        <w:ind w:left="360" w:hanging="450"/>
        <w:rPr>
          <w:rFonts w:ascii="Arial" w:hAnsi="Arial" w:cs="Arial"/>
        </w:rPr>
      </w:pPr>
      <w:r w:rsidRPr="00CE2CA6">
        <w:rPr>
          <w:rFonts w:ascii="Arial" w:hAnsi="Arial" w:cs="Arial"/>
          <w:u w:val="single"/>
        </w:rPr>
        <w:t>W</w:t>
      </w:r>
      <w:r w:rsidR="006750E6" w:rsidRPr="00CE2CA6">
        <w:rPr>
          <w:rFonts w:ascii="Arial" w:hAnsi="Arial" w:cs="Arial"/>
          <w:u w:val="single"/>
        </w:rPr>
        <w:t>hat existing Association policies are relevant to this Resolution and how would they be affected by its adoption</w:t>
      </w:r>
      <w:r w:rsidR="006750E6" w:rsidRPr="00CE2CA6">
        <w:rPr>
          <w:rFonts w:ascii="Arial" w:hAnsi="Arial" w:cs="Arial"/>
        </w:rPr>
        <w:t>?</w:t>
      </w:r>
      <w:r w:rsidR="00DC5D03" w:rsidRPr="00CE2CA6">
        <w:rPr>
          <w:rFonts w:ascii="Arial" w:hAnsi="Arial" w:cs="Arial"/>
        </w:rPr>
        <w:t>.</w:t>
      </w:r>
    </w:p>
    <w:p w14:paraId="1B3D51F6" w14:textId="38386492" w:rsidR="006750E6" w:rsidRDefault="006750E6" w:rsidP="00C3764C">
      <w:pPr>
        <w:tabs>
          <w:tab w:val="left" w:pos="720"/>
        </w:tabs>
        <w:ind w:left="360"/>
        <w:rPr>
          <w:rFonts w:ascii="Arial" w:hAnsi="Arial" w:cs="Arial"/>
        </w:rPr>
      </w:pPr>
    </w:p>
    <w:p w14:paraId="6676F88C" w14:textId="7FFF0A00" w:rsidR="00F277A8" w:rsidRPr="00CE2CA6" w:rsidRDefault="00F277A8" w:rsidP="00C3764C">
      <w:pPr>
        <w:tabs>
          <w:tab w:val="left" w:pos="720"/>
        </w:tabs>
        <w:ind w:left="360"/>
        <w:rPr>
          <w:rFonts w:ascii="Arial" w:hAnsi="Arial" w:cs="Arial"/>
        </w:rPr>
      </w:pPr>
      <w:r>
        <w:rPr>
          <w:rFonts w:ascii="Arial" w:hAnsi="Arial" w:cs="Arial"/>
        </w:rPr>
        <w:t>There are numerous ABA policies concerning the accessibility of the courts</w:t>
      </w:r>
      <w:r w:rsidR="00064BDA">
        <w:rPr>
          <w:rFonts w:ascii="Arial" w:hAnsi="Arial" w:cs="Arial"/>
        </w:rPr>
        <w:t xml:space="preserve">, the use of technology in the courts, and the evaluation of court procedures. This resolution </w:t>
      </w:r>
      <w:r w:rsidR="000E7130">
        <w:rPr>
          <w:rFonts w:ascii="Arial" w:hAnsi="Arial" w:cs="Arial"/>
        </w:rPr>
        <w:t xml:space="preserve">adds to and enhances these policies and presents no conflict. See, e.g., </w:t>
      </w:r>
      <w:r w:rsidR="00056C98">
        <w:rPr>
          <w:rFonts w:ascii="Arial" w:hAnsi="Arial" w:cs="Arial"/>
        </w:rPr>
        <w:t>91A115, 95M106, 95M301, 96M114, 02M112, 04A103B, 08A10D, 11M10A, 14A105A.</w:t>
      </w:r>
    </w:p>
    <w:p w14:paraId="1A7E1AB1" w14:textId="77777777" w:rsidR="006750E6" w:rsidRPr="00CE2CA6" w:rsidRDefault="006750E6" w:rsidP="00C3764C">
      <w:pPr>
        <w:tabs>
          <w:tab w:val="left" w:pos="720"/>
        </w:tabs>
        <w:ind w:left="360"/>
        <w:rPr>
          <w:rFonts w:ascii="Arial" w:hAnsi="Arial" w:cs="Arial"/>
        </w:rPr>
      </w:pPr>
    </w:p>
    <w:p w14:paraId="3E0AADAE" w14:textId="77777777" w:rsidR="005F592F" w:rsidRPr="00CE2CA6" w:rsidRDefault="00D61B92" w:rsidP="00C3764C">
      <w:pPr>
        <w:widowControl w:val="0"/>
        <w:numPr>
          <w:ilvl w:val="0"/>
          <w:numId w:val="1"/>
        </w:numPr>
        <w:tabs>
          <w:tab w:val="clear" w:pos="720"/>
        </w:tabs>
        <w:autoSpaceDE w:val="0"/>
        <w:autoSpaceDN w:val="0"/>
        <w:adjustRightInd w:val="0"/>
        <w:ind w:left="360"/>
        <w:rPr>
          <w:rFonts w:ascii="Arial" w:hAnsi="Arial" w:cs="Arial"/>
        </w:rPr>
      </w:pPr>
      <w:r w:rsidRPr="00CE2CA6">
        <w:rPr>
          <w:rFonts w:ascii="Arial" w:hAnsi="Arial" w:cs="Arial"/>
          <w:u w:val="single"/>
        </w:rPr>
        <w:t>If this is a late report, w</w:t>
      </w:r>
      <w:r w:rsidR="006750E6" w:rsidRPr="00CE2CA6">
        <w:rPr>
          <w:rFonts w:ascii="Arial" w:hAnsi="Arial" w:cs="Arial"/>
          <w:u w:val="single"/>
        </w:rPr>
        <w:t>hat urgency exists which requires action at this meeting of the House</w:t>
      </w:r>
      <w:r w:rsidR="006750E6" w:rsidRPr="00CE2CA6">
        <w:rPr>
          <w:rFonts w:ascii="Arial" w:hAnsi="Arial" w:cs="Arial"/>
        </w:rPr>
        <w:t xml:space="preserve">? </w:t>
      </w:r>
    </w:p>
    <w:p w14:paraId="1B369360" w14:textId="1298F1B2" w:rsidR="006750E6" w:rsidRPr="00CE2CA6" w:rsidRDefault="00DC5D03" w:rsidP="005F592F">
      <w:pPr>
        <w:widowControl w:val="0"/>
        <w:autoSpaceDE w:val="0"/>
        <w:autoSpaceDN w:val="0"/>
        <w:adjustRightInd w:val="0"/>
        <w:ind w:left="360"/>
        <w:rPr>
          <w:rFonts w:ascii="Arial" w:hAnsi="Arial" w:cs="Arial"/>
        </w:rPr>
      </w:pPr>
      <w:r w:rsidRPr="00CE2CA6">
        <w:rPr>
          <w:rFonts w:ascii="Arial" w:hAnsi="Arial" w:cs="Arial"/>
        </w:rPr>
        <w:t>N/A</w:t>
      </w:r>
    </w:p>
    <w:p w14:paraId="17C08F09" w14:textId="77777777" w:rsidR="006750E6" w:rsidRPr="00CE2CA6" w:rsidRDefault="006750E6" w:rsidP="00C3764C">
      <w:pPr>
        <w:tabs>
          <w:tab w:val="left" w:pos="720"/>
        </w:tabs>
        <w:ind w:left="360"/>
        <w:rPr>
          <w:rFonts w:ascii="Arial" w:hAnsi="Arial" w:cs="Arial"/>
        </w:rPr>
      </w:pPr>
    </w:p>
    <w:p w14:paraId="6FF78ED4" w14:textId="77777777" w:rsidR="005F592F" w:rsidRPr="00CE2CA6" w:rsidRDefault="006750E6" w:rsidP="00C3764C">
      <w:pPr>
        <w:widowControl w:val="0"/>
        <w:numPr>
          <w:ilvl w:val="0"/>
          <w:numId w:val="1"/>
        </w:numPr>
        <w:tabs>
          <w:tab w:val="clear" w:pos="720"/>
        </w:tabs>
        <w:autoSpaceDE w:val="0"/>
        <w:autoSpaceDN w:val="0"/>
        <w:adjustRightInd w:val="0"/>
        <w:ind w:left="360"/>
        <w:rPr>
          <w:rFonts w:ascii="Arial" w:hAnsi="Arial" w:cs="Arial"/>
        </w:rPr>
      </w:pPr>
      <w:r w:rsidRPr="00CE2CA6">
        <w:rPr>
          <w:rFonts w:ascii="Arial" w:hAnsi="Arial" w:cs="Arial"/>
          <w:u w:val="single"/>
        </w:rPr>
        <w:t>Status of Legislation</w:t>
      </w:r>
      <w:r w:rsidRPr="00CE2CA6">
        <w:rPr>
          <w:rFonts w:ascii="Arial" w:hAnsi="Arial" w:cs="Arial"/>
        </w:rPr>
        <w:t xml:space="preserve">.  </w:t>
      </w:r>
    </w:p>
    <w:p w14:paraId="099208BD" w14:textId="7CDEAF26" w:rsidR="006750E6" w:rsidRPr="00CE2CA6" w:rsidRDefault="00DC5D03" w:rsidP="005F592F">
      <w:pPr>
        <w:widowControl w:val="0"/>
        <w:autoSpaceDE w:val="0"/>
        <w:autoSpaceDN w:val="0"/>
        <w:adjustRightInd w:val="0"/>
        <w:ind w:left="360"/>
        <w:rPr>
          <w:rFonts w:ascii="Arial" w:hAnsi="Arial" w:cs="Arial"/>
        </w:rPr>
      </w:pPr>
      <w:r w:rsidRPr="00CE2CA6">
        <w:rPr>
          <w:rFonts w:ascii="Arial" w:hAnsi="Arial" w:cs="Arial"/>
        </w:rPr>
        <w:t>N/A</w:t>
      </w:r>
    </w:p>
    <w:p w14:paraId="4265EE36" w14:textId="77777777" w:rsidR="006750E6" w:rsidRPr="00CE2CA6" w:rsidRDefault="006750E6" w:rsidP="00C3764C">
      <w:pPr>
        <w:tabs>
          <w:tab w:val="left" w:pos="720"/>
        </w:tabs>
        <w:ind w:left="360"/>
        <w:rPr>
          <w:rFonts w:ascii="Arial" w:hAnsi="Arial" w:cs="Arial"/>
        </w:rPr>
      </w:pPr>
    </w:p>
    <w:p w14:paraId="39489B2B" w14:textId="77777777" w:rsidR="005F592F" w:rsidRPr="00CE2CA6" w:rsidRDefault="006750E6" w:rsidP="00B11DD1">
      <w:pPr>
        <w:widowControl w:val="0"/>
        <w:numPr>
          <w:ilvl w:val="0"/>
          <w:numId w:val="1"/>
        </w:numPr>
        <w:tabs>
          <w:tab w:val="clear" w:pos="720"/>
          <w:tab w:val="num" w:pos="360"/>
          <w:tab w:val="num" w:pos="450"/>
        </w:tabs>
        <w:autoSpaceDE w:val="0"/>
        <w:autoSpaceDN w:val="0"/>
        <w:adjustRightInd w:val="0"/>
        <w:ind w:left="360" w:hanging="450"/>
        <w:rPr>
          <w:rFonts w:ascii="Arial" w:hAnsi="Arial" w:cs="Arial"/>
          <w:u w:val="single"/>
        </w:rPr>
      </w:pPr>
      <w:r w:rsidRPr="00CE2CA6">
        <w:rPr>
          <w:rFonts w:ascii="Arial" w:hAnsi="Arial" w:cs="Arial"/>
          <w:u w:val="single"/>
        </w:rPr>
        <w:t>Brief explanation regarding plans for implementation of the policy, if adopted by the House of Delegates.</w:t>
      </w:r>
      <w:r w:rsidRPr="00CE2CA6">
        <w:rPr>
          <w:rFonts w:ascii="Arial" w:hAnsi="Arial" w:cs="Arial"/>
        </w:rPr>
        <w:t xml:space="preserve"> </w:t>
      </w:r>
    </w:p>
    <w:p w14:paraId="0657A231" w14:textId="77777777" w:rsidR="005F592F" w:rsidRPr="00CE2CA6" w:rsidRDefault="005F592F" w:rsidP="005F592F">
      <w:pPr>
        <w:widowControl w:val="0"/>
        <w:tabs>
          <w:tab w:val="num" w:pos="720"/>
        </w:tabs>
        <w:autoSpaceDE w:val="0"/>
        <w:autoSpaceDN w:val="0"/>
        <w:adjustRightInd w:val="0"/>
        <w:ind w:left="360"/>
        <w:rPr>
          <w:rFonts w:ascii="Arial" w:hAnsi="Arial" w:cs="Arial"/>
        </w:rPr>
      </w:pPr>
    </w:p>
    <w:p w14:paraId="010256E3" w14:textId="31759165" w:rsidR="00090C66" w:rsidRPr="00CE2CA6" w:rsidRDefault="00704DEE" w:rsidP="005F592F">
      <w:pPr>
        <w:widowControl w:val="0"/>
        <w:tabs>
          <w:tab w:val="num" w:pos="720"/>
        </w:tabs>
        <w:autoSpaceDE w:val="0"/>
        <w:autoSpaceDN w:val="0"/>
        <w:adjustRightInd w:val="0"/>
        <w:ind w:left="360"/>
        <w:rPr>
          <w:rFonts w:ascii="Arial" w:hAnsi="Arial" w:cs="Arial"/>
          <w:u w:val="single"/>
        </w:rPr>
      </w:pPr>
      <w:r w:rsidRPr="00CE2CA6">
        <w:rPr>
          <w:rFonts w:ascii="Arial" w:hAnsi="Arial" w:cs="Arial"/>
        </w:rPr>
        <w:t xml:space="preserve">Numerous jurisdictions are looking for guidance on how to establish and evaluate court proceedings during the COVID-19 crisis. </w:t>
      </w:r>
      <w:r w:rsidR="00952046" w:rsidRPr="00CE2CA6">
        <w:rPr>
          <w:rFonts w:ascii="Arial" w:hAnsi="Arial" w:cs="Arial"/>
        </w:rPr>
        <w:t>This Resolution and Report would be distributed to key constituencies to provide guidance with staff support available to help access additional, more detailed materials such as the studies and resources cited in the Report. The Resolution would also be posted on SCLAID’s COVID-19 Resources webpage.</w:t>
      </w:r>
    </w:p>
    <w:p w14:paraId="6D99BC9B" w14:textId="77777777" w:rsidR="003D21E4" w:rsidRPr="00CE2CA6" w:rsidRDefault="003D21E4" w:rsidP="003D21E4">
      <w:pPr>
        <w:widowControl w:val="0"/>
        <w:tabs>
          <w:tab w:val="num" w:pos="450"/>
        </w:tabs>
        <w:autoSpaceDE w:val="0"/>
        <w:autoSpaceDN w:val="0"/>
        <w:adjustRightInd w:val="0"/>
        <w:ind w:left="360"/>
        <w:rPr>
          <w:rFonts w:ascii="Arial" w:hAnsi="Arial" w:cs="Arial"/>
          <w:u w:val="single"/>
        </w:rPr>
      </w:pPr>
    </w:p>
    <w:p w14:paraId="7655875E" w14:textId="77777777" w:rsidR="005F592F" w:rsidRPr="00CE2CA6" w:rsidRDefault="006750E6" w:rsidP="001E1CD1">
      <w:pPr>
        <w:widowControl w:val="0"/>
        <w:numPr>
          <w:ilvl w:val="0"/>
          <w:numId w:val="1"/>
        </w:numPr>
        <w:tabs>
          <w:tab w:val="clear" w:pos="720"/>
          <w:tab w:val="num" w:pos="360"/>
          <w:tab w:val="num" w:pos="450"/>
        </w:tabs>
        <w:autoSpaceDE w:val="0"/>
        <w:autoSpaceDN w:val="0"/>
        <w:adjustRightInd w:val="0"/>
        <w:ind w:left="360"/>
        <w:rPr>
          <w:rFonts w:ascii="Arial" w:hAnsi="Arial" w:cs="Arial"/>
        </w:rPr>
      </w:pPr>
      <w:r w:rsidRPr="00CE2CA6">
        <w:rPr>
          <w:rFonts w:ascii="Arial" w:hAnsi="Arial" w:cs="Arial"/>
          <w:u w:val="single"/>
        </w:rPr>
        <w:t>Cost to the Association</w:t>
      </w:r>
      <w:r w:rsidRPr="00CE2CA6">
        <w:rPr>
          <w:rFonts w:ascii="Arial" w:hAnsi="Arial" w:cs="Arial"/>
        </w:rPr>
        <w:t xml:space="preserve">. </w:t>
      </w:r>
    </w:p>
    <w:p w14:paraId="3E8BDC83" w14:textId="77777777" w:rsidR="005F592F" w:rsidRPr="00CE2CA6" w:rsidRDefault="005F592F" w:rsidP="005F592F">
      <w:pPr>
        <w:widowControl w:val="0"/>
        <w:tabs>
          <w:tab w:val="num" w:pos="720"/>
        </w:tabs>
        <w:autoSpaceDE w:val="0"/>
        <w:autoSpaceDN w:val="0"/>
        <w:adjustRightInd w:val="0"/>
        <w:ind w:left="360"/>
        <w:rPr>
          <w:rFonts w:ascii="Arial" w:hAnsi="Arial" w:cs="Arial"/>
          <w:u w:val="single"/>
        </w:rPr>
      </w:pPr>
    </w:p>
    <w:p w14:paraId="020FC740" w14:textId="4A371776" w:rsidR="006750E6" w:rsidRPr="00CE2CA6" w:rsidRDefault="001E1CD1" w:rsidP="005F592F">
      <w:pPr>
        <w:widowControl w:val="0"/>
        <w:tabs>
          <w:tab w:val="num" w:pos="720"/>
        </w:tabs>
        <w:autoSpaceDE w:val="0"/>
        <w:autoSpaceDN w:val="0"/>
        <w:adjustRightInd w:val="0"/>
        <w:ind w:left="360"/>
        <w:rPr>
          <w:rFonts w:ascii="Arial" w:hAnsi="Arial" w:cs="Arial"/>
        </w:rPr>
      </w:pPr>
      <w:r w:rsidRPr="00CE2CA6">
        <w:rPr>
          <w:rFonts w:ascii="Arial" w:hAnsi="Arial" w:cs="Arial"/>
        </w:rPr>
        <w:t>Adoption of this proposed resolution would result in only minor indirect costs associated with staff time devoted to the policy subject matter as part of the staff members’ overall substantive responsibilities.</w:t>
      </w:r>
    </w:p>
    <w:p w14:paraId="325B8A7D" w14:textId="77777777" w:rsidR="006750E6" w:rsidRPr="00CE2CA6" w:rsidRDefault="006750E6" w:rsidP="00C3764C">
      <w:pPr>
        <w:tabs>
          <w:tab w:val="left" w:pos="720"/>
        </w:tabs>
        <w:ind w:left="360"/>
        <w:rPr>
          <w:rFonts w:ascii="Arial" w:hAnsi="Arial" w:cs="Arial"/>
        </w:rPr>
      </w:pPr>
    </w:p>
    <w:p w14:paraId="7CDCA5A4" w14:textId="77777777" w:rsidR="006750E6" w:rsidRPr="00CE2CA6" w:rsidRDefault="006750E6" w:rsidP="00C3764C">
      <w:pPr>
        <w:tabs>
          <w:tab w:val="left" w:pos="720"/>
        </w:tabs>
        <w:ind w:left="360"/>
        <w:rPr>
          <w:rFonts w:ascii="Arial" w:hAnsi="Arial" w:cs="Arial"/>
        </w:rPr>
      </w:pPr>
    </w:p>
    <w:p w14:paraId="4B6A417C" w14:textId="77777777" w:rsidR="005F592F" w:rsidRPr="00CE2CA6" w:rsidRDefault="006750E6" w:rsidP="00C3764C">
      <w:pPr>
        <w:widowControl w:val="0"/>
        <w:numPr>
          <w:ilvl w:val="0"/>
          <w:numId w:val="1"/>
        </w:numPr>
        <w:tabs>
          <w:tab w:val="clear" w:pos="720"/>
        </w:tabs>
        <w:autoSpaceDE w:val="0"/>
        <w:autoSpaceDN w:val="0"/>
        <w:adjustRightInd w:val="0"/>
        <w:ind w:left="360"/>
        <w:rPr>
          <w:rFonts w:ascii="Arial" w:hAnsi="Arial" w:cs="Arial"/>
        </w:rPr>
      </w:pPr>
      <w:r w:rsidRPr="00CE2CA6">
        <w:rPr>
          <w:rFonts w:ascii="Arial" w:hAnsi="Arial" w:cs="Arial"/>
          <w:u w:val="single"/>
        </w:rPr>
        <w:t>Disclosure of Interest</w:t>
      </w:r>
      <w:r w:rsidRPr="00CE2CA6">
        <w:rPr>
          <w:rFonts w:ascii="Arial" w:hAnsi="Arial" w:cs="Arial"/>
        </w:rPr>
        <w:t xml:space="preserve">.  </w:t>
      </w:r>
    </w:p>
    <w:p w14:paraId="45F6450B" w14:textId="77777777" w:rsidR="005F592F" w:rsidRPr="00CE2CA6" w:rsidRDefault="005F592F" w:rsidP="005F592F">
      <w:pPr>
        <w:widowControl w:val="0"/>
        <w:autoSpaceDE w:val="0"/>
        <w:autoSpaceDN w:val="0"/>
        <w:adjustRightInd w:val="0"/>
        <w:ind w:left="360"/>
        <w:rPr>
          <w:rFonts w:ascii="Arial" w:hAnsi="Arial" w:cs="Arial"/>
          <w:u w:val="single"/>
        </w:rPr>
      </w:pPr>
    </w:p>
    <w:p w14:paraId="37CB7951" w14:textId="465F02AB" w:rsidR="006750E6" w:rsidRPr="00CE2CA6" w:rsidRDefault="001E1CD1" w:rsidP="005F592F">
      <w:pPr>
        <w:widowControl w:val="0"/>
        <w:autoSpaceDE w:val="0"/>
        <w:autoSpaceDN w:val="0"/>
        <w:adjustRightInd w:val="0"/>
        <w:ind w:left="360"/>
        <w:rPr>
          <w:rFonts w:ascii="Arial" w:hAnsi="Arial" w:cs="Arial"/>
        </w:rPr>
      </w:pPr>
      <w:r w:rsidRPr="00CE2CA6">
        <w:rPr>
          <w:rFonts w:ascii="Arial" w:hAnsi="Arial" w:cs="Arial"/>
        </w:rPr>
        <w:t>N/A</w:t>
      </w:r>
    </w:p>
    <w:p w14:paraId="13F9F245" w14:textId="77777777" w:rsidR="006750E6" w:rsidRPr="00CE2CA6" w:rsidRDefault="006750E6" w:rsidP="00C3764C">
      <w:pPr>
        <w:tabs>
          <w:tab w:val="left" w:pos="720"/>
        </w:tabs>
        <w:ind w:left="360"/>
        <w:rPr>
          <w:rFonts w:ascii="Arial" w:hAnsi="Arial" w:cs="Arial"/>
        </w:rPr>
      </w:pPr>
    </w:p>
    <w:p w14:paraId="76CFEC5F" w14:textId="77777777" w:rsidR="006750E6" w:rsidRPr="00CE2CA6" w:rsidRDefault="006750E6" w:rsidP="00C3764C">
      <w:pPr>
        <w:tabs>
          <w:tab w:val="left" w:pos="720"/>
        </w:tabs>
        <w:ind w:left="360"/>
        <w:rPr>
          <w:rFonts w:ascii="Arial" w:hAnsi="Arial" w:cs="Arial"/>
        </w:rPr>
      </w:pPr>
    </w:p>
    <w:p w14:paraId="21ABF844" w14:textId="77777777" w:rsidR="006750E6" w:rsidRPr="00CE2CA6" w:rsidRDefault="006750E6" w:rsidP="00C3764C">
      <w:pPr>
        <w:widowControl w:val="0"/>
        <w:numPr>
          <w:ilvl w:val="0"/>
          <w:numId w:val="1"/>
        </w:numPr>
        <w:tabs>
          <w:tab w:val="clear" w:pos="720"/>
        </w:tabs>
        <w:autoSpaceDE w:val="0"/>
        <w:autoSpaceDN w:val="0"/>
        <w:adjustRightInd w:val="0"/>
        <w:ind w:left="360"/>
        <w:rPr>
          <w:rFonts w:ascii="Arial" w:hAnsi="Arial" w:cs="Arial"/>
        </w:rPr>
      </w:pPr>
      <w:r w:rsidRPr="00CE2CA6">
        <w:rPr>
          <w:rFonts w:ascii="Arial" w:hAnsi="Arial" w:cs="Arial"/>
          <w:u w:val="single"/>
        </w:rPr>
        <w:t>Referrals</w:t>
      </w:r>
      <w:r w:rsidRPr="00CE2CA6">
        <w:rPr>
          <w:rFonts w:ascii="Arial" w:hAnsi="Arial" w:cs="Arial"/>
        </w:rPr>
        <w:t xml:space="preserve">. </w:t>
      </w:r>
      <w:r w:rsidR="005F50BD" w:rsidRPr="00CE2CA6">
        <w:rPr>
          <w:rFonts w:ascii="Arial" w:hAnsi="Arial" w:cs="Arial"/>
        </w:rPr>
        <w:t>By copy of this form, the Report with Recommendation will be referred to the following entities:</w:t>
      </w:r>
    </w:p>
    <w:p w14:paraId="5D601700" w14:textId="77777777" w:rsidR="005F50BD" w:rsidRPr="00CE2CA6" w:rsidRDefault="005F50BD" w:rsidP="005F50BD">
      <w:pPr>
        <w:widowControl w:val="0"/>
        <w:autoSpaceDE w:val="0"/>
        <w:autoSpaceDN w:val="0"/>
        <w:adjustRightInd w:val="0"/>
        <w:ind w:left="360"/>
        <w:rPr>
          <w:rFonts w:ascii="Arial" w:hAnsi="Arial" w:cs="Arial"/>
          <w:u w:val="single"/>
        </w:rPr>
      </w:pPr>
    </w:p>
    <w:p w14:paraId="762B1041" w14:textId="467938E5" w:rsidR="00C67492" w:rsidRDefault="00C67492" w:rsidP="00B5445A">
      <w:pPr>
        <w:widowControl w:val="0"/>
        <w:autoSpaceDE w:val="0"/>
        <w:autoSpaceDN w:val="0"/>
        <w:adjustRightInd w:val="0"/>
        <w:ind w:left="720"/>
        <w:rPr>
          <w:rFonts w:ascii="Arial" w:hAnsi="Arial" w:cs="Arial"/>
        </w:rPr>
      </w:pPr>
      <w:r w:rsidRPr="00CE2CA6">
        <w:rPr>
          <w:rFonts w:ascii="Arial" w:hAnsi="Arial" w:cs="Arial"/>
        </w:rPr>
        <w:t>Center for Public Interest Law</w:t>
      </w:r>
    </w:p>
    <w:p w14:paraId="33888DAC" w14:textId="52DA13A0" w:rsidR="005133B7" w:rsidRPr="00CE2CA6" w:rsidRDefault="005133B7" w:rsidP="00B5445A">
      <w:pPr>
        <w:widowControl w:val="0"/>
        <w:autoSpaceDE w:val="0"/>
        <w:autoSpaceDN w:val="0"/>
        <w:adjustRightInd w:val="0"/>
        <w:ind w:left="720"/>
        <w:rPr>
          <w:rFonts w:ascii="Arial" w:hAnsi="Arial" w:cs="Arial"/>
        </w:rPr>
      </w:pPr>
      <w:r>
        <w:rPr>
          <w:rFonts w:ascii="Arial" w:hAnsi="Arial" w:cs="Arial"/>
        </w:rPr>
        <w:t>Center for Innovation</w:t>
      </w:r>
    </w:p>
    <w:p w14:paraId="2873C029" w14:textId="741574B4" w:rsidR="00044DF9" w:rsidRPr="00CE2CA6" w:rsidRDefault="00044DF9" w:rsidP="00B5445A">
      <w:pPr>
        <w:widowControl w:val="0"/>
        <w:autoSpaceDE w:val="0"/>
        <w:autoSpaceDN w:val="0"/>
        <w:adjustRightInd w:val="0"/>
        <w:ind w:left="720"/>
        <w:rPr>
          <w:rFonts w:ascii="Arial" w:hAnsi="Arial" w:cs="Arial"/>
        </w:rPr>
      </w:pPr>
      <w:r w:rsidRPr="00CE2CA6">
        <w:rPr>
          <w:rFonts w:ascii="Arial" w:hAnsi="Arial" w:cs="Arial"/>
        </w:rPr>
        <w:t>Judicial Division</w:t>
      </w:r>
    </w:p>
    <w:p w14:paraId="38B2204E" w14:textId="1D696D7A" w:rsidR="00E72A02" w:rsidRPr="00CE2CA6" w:rsidRDefault="00E72A02" w:rsidP="00B5445A">
      <w:pPr>
        <w:widowControl w:val="0"/>
        <w:autoSpaceDE w:val="0"/>
        <w:autoSpaceDN w:val="0"/>
        <w:adjustRightInd w:val="0"/>
        <w:ind w:left="720"/>
        <w:rPr>
          <w:rFonts w:ascii="Arial" w:hAnsi="Arial" w:cs="Arial"/>
        </w:rPr>
      </w:pPr>
      <w:r w:rsidRPr="00CE2CA6">
        <w:rPr>
          <w:rFonts w:ascii="Arial" w:hAnsi="Arial" w:cs="Arial"/>
        </w:rPr>
        <w:t>Section on Civil Rights and Social Justice</w:t>
      </w:r>
    </w:p>
    <w:p w14:paraId="0E8DE1A7" w14:textId="22FCBF80" w:rsidR="00B5445A" w:rsidRPr="00CE2CA6" w:rsidRDefault="00B5445A" w:rsidP="00B5445A">
      <w:pPr>
        <w:widowControl w:val="0"/>
        <w:autoSpaceDE w:val="0"/>
        <w:autoSpaceDN w:val="0"/>
        <w:adjustRightInd w:val="0"/>
        <w:ind w:left="720"/>
        <w:rPr>
          <w:rFonts w:ascii="Arial" w:hAnsi="Arial" w:cs="Arial"/>
        </w:rPr>
      </w:pPr>
      <w:r w:rsidRPr="00CE2CA6">
        <w:rPr>
          <w:rFonts w:ascii="Arial" w:hAnsi="Arial" w:cs="Arial"/>
        </w:rPr>
        <w:t>Section of Criminal Justice</w:t>
      </w:r>
    </w:p>
    <w:p w14:paraId="554B4AAB" w14:textId="0D24F922" w:rsidR="00A46BCF" w:rsidRPr="00CE2CA6" w:rsidRDefault="00A46BCF" w:rsidP="00B5445A">
      <w:pPr>
        <w:widowControl w:val="0"/>
        <w:autoSpaceDE w:val="0"/>
        <w:autoSpaceDN w:val="0"/>
        <w:adjustRightInd w:val="0"/>
        <w:ind w:left="720"/>
        <w:rPr>
          <w:rFonts w:ascii="Arial" w:hAnsi="Arial" w:cs="Arial"/>
        </w:rPr>
      </w:pPr>
      <w:r w:rsidRPr="00CE2CA6">
        <w:rPr>
          <w:rFonts w:ascii="Arial" w:hAnsi="Arial" w:cs="Arial"/>
        </w:rPr>
        <w:t>Section on Dispute Resolution</w:t>
      </w:r>
    </w:p>
    <w:p w14:paraId="5E764146" w14:textId="79637070" w:rsidR="00044DF9" w:rsidRPr="00CE2CA6" w:rsidRDefault="00044DF9" w:rsidP="00B5445A">
      <w:pPr>
        <w:widowControl w:val="0"/>
        <w:autoSpaceDE w:val="0"/>
        <w:autoSpaceDN w:val="0"/>
        <w:adjustRightInd w:val="0"/>
        <w:ind w:left="720"/>
        <w:rPr>
          <w:rFonts w:ascii="Arial" w:hAnsi="Arial" w:cs="Arial"/>
        </w:rPr>
      </w:pPr>
      <w:r w:rsidRPr="00CE2CA6">
        <w:rPr>
          <w:rFonts w:ascii="Arial" w:hAnsi="Arial" w:cs="Arial"/>
        </w:rPr>
        <w:t>Section on Family Law</w:t>
      </w:r>
    </w:p>
    <w:p w14:paraId="7E51A013" w14:textId="77D5C97E" w:rsidR="00E72A02" w:rsidRPr="00CE2CA6" w:rsidRDefault="00E72A02" w:rsidP="00B5445A">
      <w:pPr>
        <w:widowControl w:val="0"/>
        <w:autoSpaceDE w:val="0"/>
        <w:autoSpaceDN w:val="0"/>
        <w:adjustRightInd w:val="0"/>
        <w:ind w:left="720"/>
        <w:rPr>
          <w:rFonts w:ascii="Arial" w:hAnsi="Arial" w:cs="Arial"/>
        </w:rPr>
      </w:pPr>
      <w:r w:rsidRPr="00CE2CA6">
        <w:rPr>
          <w:rFonts w:ascii="Arial" w:hAnsi="Arial" w:cs="Arial"/>
        </w:rPr>
        <w:t>Section on Litigation</w:t>
      </w:r>
    </w:p>
    <w:p w14:paraId="741688F9" w14:textId="4590CD76" w:rsidR="005B56A4" w:rsidRPr="00CE2CA6" w:rsidRDefault="005B56A4" w:rsidP="00B5445A">
      <w:pPr>
        <w:widowControl w:val="0"/>
        <w:autoSpaceDE w:val="0"/>
        <w:autoSpaceDN w:val="0"/>
        <w:adjustRightInd w:val="0"/>
        <w:ind w:left="720"/>
        <w:rPr>
          <w:rFonts w:ascii="Arial" w:hAnsi="Arial" w:cs="Arial"/>
        </w:rPr>
      </w:pPr>
      <w:r w:rsidRPr="00CE2CA6">
        <w:rPr>
          <w:rFonts w:ascii="Arial" w:hAnsi="Arial" w:cs="Arial"/>
        </w:rPr>
        <w:t>Section of State and Local Government Law</w:t>
      </w:r>
    </w:p>
    <w:p w14:paraId="6FC199A4" w14:textId="7F6BEE49" w:rsidR="00853FB5" w:rsidRPr="00CE2CA6" w:rsidRDefault="00853FB5" w:rsidP="00E72A02">
      <w:pPr>
        <w:widowControl w:val="0"/>
        <w:autoSpaceDE w:val="0"/>
        <w:autoSpaceDN w:val="0"/>
        <w:adjustRightInd w:val="0"/>
        <w:ind w:left="720"/>
        <w:rPr>
          <w:rFonts w:ascii="Arial" w:hAnsi="Arial" w:cs="Arial"/>
        </w:rPr>
      </w:pPr>
      <w:r w:rsidRPr="00CE2CA6">
        <w:rPr>
          <w:rFonts w:ascii="Arial" w:hAnsi="Arial" w:cs="Arial"/>
        </w:rPr>
        <w:t>Solo, Small Firm and General Practice Division</w:t>
      </w:r>
    </w:p>
    <w:p w14:paraId="5F26EF6C" w14:textId="0BA597AB" w:rsidR="00E72A02" w:rsidRPr="00CE2CA6" w:rsidRDefault="00E72A02" w:rsidP="00B5445A">
      <w:pPr>
        <w:widowControl w:val="0"/>
        <w:autoSpaceDE w:val="0"/>
        <w:autoSpaceDN w:val="0"/>
        <w:adjustRightInd w:val="0"/>
        <w:ind w:left="720"/>
        <w:rPr>
          <w:rFonts w:ascii="Arial" w:hAnsi="Arial" w:cs="Arial"/>
        </w:rPr>
      </w:pPr>
    </w:p>
    <w:p w14:paraId="1F91B956" w14:textId="77777777" w:rsidR="006750E6" w:rsidRPr="00CE2CA6" w:rsidRDefault="006750E6" w:rsidP="00C3764C">
      <w:pPr>
        <w:tabs>
          <w:tab w:val="left" w:pos="720"/>
        </w:tabs>
        <w:ind w:left="360"/>
        <w:rPr>
          <w:rFonts w:ascii="Arial" w:hAnsi="Arial" w:cs="Arial"/>
        </w:rPr>
      </w:pPr>
    </w:p>
    <w:p w14:paraId="347FDBE7" w14:textId="77777777" w:rsidR="006750E6" w:rsidRPr="00CE2CA6" w:rsidRDefault="006750E6" w:rsidP="00C3764C">
      <w:pPr>
        <w:tabs>
          <w:tab w:val="left" w:pos="720"/>
        </w:tabs>
        <w:ind w:left="360"/>
        <w:rPr>
          <w:rFonts w:ascii="Arial" w:hAnsi="Arial" w:cs="Arial"/>
        </w:rPr>
      </w:pPr>
    </w:p>
    <w:p w14:paraId="28240795" w14:textId="6F94F405" w:rsidR="006750E6" w:rsidRPr="00CE2CA6" w:rsidRDefault="006750E6" w:rsidP="00C3764C">
      <w:pPr>
        <w:widowControl w:val="0"/>
        <w:numPr>
          <w:ilvl w:val="0"/>
          <w:numId w:val="1"/>
        </w:numPr>
        <w:tabs>
          <w:tab w:val="clear" w:pos="720"/>
        </w:tabs>
        <w:autoSpaceDE w:val="0"/>
        <w:autoSpaceDN w:val="0"/>
        <w:adjustRightInd w:val="0"/>
        <w:ind w:left="360" w:hanging="450"/>
        <w:rPr>
          <w:rFonts w:ascii="Arial" w:hAnsi="Arial" w:cs="Arial"/>
        </w:rPr>
      </w:pPr>
      <w:r w:rsidRPr="00CE2CA6">
        <w:rPr>
          <w:rFonts w:ascii="Arial" w:hAnsi="Arial" w:cs="Arial"/>
          <w:u w:val="single"/>
        </w:rPr>
        <w:t>Contact Name and Address Information</w:t>
      </w:r>
      <w:r w:rsidR="00EA5AD2" w:rsidRPr="00CE2CA6">
        <w:rPr>
          <w:rFonts w:ascii="Arial" w:hAnsi="Arial" w:cs="Arial"/>
          <w:u w:val="single"/>
        </w:rPr>
        <w:t xml:space="preserve"> </w:t>
      </w:r>
      <w:r w:rsidR="00EA5AD2" w:rsidRPr="00CE2CA6">
        <w:rPr>
          <w:rFonts w:ascii="Arial" w:hAnsi="Arial" w:cs="Arial"/>
        </w:rPr>
        <w:t>(Contacts prior to meeting)</w:t>
      </w:r>
      <w:r w:rsidRPr="00CE2CA6">
        <w:rPr>
          <w:rFonts w:ascii="Arial" w:hAnsi="Arial" w:cs="Arial"/>
        </w:rPr>
        <w:t xml:space="preserve">. </w:t>
      </w:r>
    </w:p>
    <w:p w14:paraId="0943B0BB" w14:textId="77777777" w:rsidR="001E1CD1" w:rsidRPr="00CE2CA6" w:rsidRDefault="001E1CD1" w:rsidP="001E1CD1">
      <w:pPr>
        <w:widowControl w:val="0"/>
        <w:autoSpaceDE w:val="0"/>
        <w:autoSpaceDN w:val="0"/>
        <w:adjustRightInd w:val="0"/>
        <w:ind w:left="360"/>
        <w:rPr>
          <w:rFonts w:ascii="Arial" w:hAnsi="Arial" w:cs="Arial"/>
          <w:u w:val="single"/>
        </w:rPr>
      </w:pPr>
    </w:p>
    <w:p w14:paraId="04A7DC98" w14:textId="14B9754F" w:rsidR="007C33B0" w:rsidRPr="00CE2CA6" w:rsidRDefault="00853FB5" w:rsidP="007C33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 xml:space="preserve">Theodore </w:t>
      </w:r>
      <w:r w:rsidR="003E0249" w:rsidRPr="00CE2CA6">
        <w:rPr>
          <w:rFonts w:ascii="Arial" w:hAnsi="Arial" w:cs="Arial"/>
        </w:rPr>
        <w:t xml:space="preserve">A. </w:t>
      </w:r>
      <w:r w:rsidRPr="00CE2CA6">
        <w:rPr>
          <w:rFonts w:ascii="Arial" w:hAnsi="Arial" w:cs="Arial"/>
        </w:rPr>
        <w:t>Howard</w:t>
      </w:r>
    </w:p>
    <w:p w14:paraId="29D61B10" w14:textId="285CF7C6" w:rsidR="003E0249" w:rsidRPr="00CE2CA6" w:rsidRDefault="003E0249" w:rsidP="007C33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Wiley Rein</w:t>
      </w:r>
    </w:p>
    <w:p w14:paraId="119A2FEA" w14:textId="24AA5178" w:rsidR="00294491" w:rsidRPr="00CE2CA6" w:rsidRDefault="00294491" w:rsidP="007C33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1776 K Street NW</w:t>
      </w:r>
    </w:p>
    <w:p w14:paraId="35041E8B" w14:textId="38383873" w:rsidR="00294491" w:rsidRPr="00CE2CA6" w:rsidRDefault="00294491" w:rsidP="007C33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Washington, DC 20006</w:t>
      </w:r>
    </w:p>
    <w:p w14:paraId="5FDA73E9" w14:textId="53BE7B1C" w:rsidR="00294491" w:rsidRPr="00CE2CA6" w:rsidRDefault="00294491" w:rsidP="007C33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202-719-7120</w:t>
      </w:r>
    </w:p>
    <w:p w14:paraId="4D85B35E" w14:textId="2D26D4EE" w:rsidR="00294491" w:rsidRPr="00CE2CA6" w:rsidRDefault="00A966C1" w:rsidP="007C33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hyperlink r:id="rId17" w:history="1">
        <w:r w:rsidR="00294491" w:rsidRPr="00CE2CA6">
          <w:rPr>
            <w:rStyle w:val="Hyperlink"/>
            <w:rFonts w:ascii="Arial" w:hAnsi="Arial" w:cs="Arial"/>
          </w:rPr>
          <w:t>thoward@wiley.law</w:t>
        </w:r>
      </w:hyperlink>
    </w:p>
    <w:p w14:paraId="6FB9E665" w14:textId="49C89B9D" w:rsidR="00090C66" w:rsidRPr="00CE2CA6" w:rsidRDefault="00090C66" w:rsidP="003D38E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Arial" w:hAnsi="Arial" w:cs="Arial"/>
        </w:rPr>
      </w:pPr>
    </w:p>
    <w:p w14:paraId="5F372BF5" w14:textId="5194E77C" w:rsidR="00E72A02" w:rsidRPr="00CE2CA6" w:rsidRDefault="00E72A02"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Jason Vail</w:t>
      </w:r>
    </w:p>
    <w:p w14:paraId="5881717D" w14:textId="62C1F203" w:rsidR="00E72A02" w:rsidRPr="00CE2CA6" w:rsidRDefault="00E72A02"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Chief Counsel</w:t>
      </w:r>
    </w:p>
    <w:p w14:paraId="456E4504" w14:textId="54C811DB" w:rsidR="00E72A02" w:rsidRPr="00CE2CA6" w:rsidRDefault="00E72A02"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Standing Committee on Legal Aid and Indigent Defendants</w:t>
      </w:r>
    </w:p>
    <w:p w14:paraId="1A61DE18" w14:textId="4FAC0973" w:rsidR="00E72A02" w:rsidRPr="00CE2CA6" w:rsidRDefault="00294491"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321 N. Clark Street</w:t>
      </w:r>
    </w:p>
    <w:p w14:paraId="15F354DA" w14:textId="29CED9E6" w:rsidR="00294491" w:rsidRPr="00CE2CA6" w:rsidRDefault="00294491"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 xml:space="preserve">Chicago, IL </w:t>
      </w:r>
      <w:r w:rsidR="00700BCD" w:rsidRPr="00CE2CA6">
        <w:rPr>
          <w:rFonts w:ascii="Arial" w:hAnsi="Arial" w:cs="Arial"/>
        </w:rPr>
        <w:t>60654</w:t>
      </w:r>
    </w:p>
    <w:p w14:paraId="7F8A19BA" w14:textId="7943C643" w:rsidR="00700BCD" w:rsidRPr="00CE2CA6" w:rsidRDefault="00700BCD"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312-988-</w:t>
      </w:r>
      <w:r w:rsidR="00436387" w:rsidRPr="00CE2CA6">
        <w:rPr>
          <w:rFonts w:ascii="Arial" w:hAnsi="Arial" w:cs="Arial"/>
        </w:rPr>
        <w:t>5755</w:t>
      </w:r>
    </w:p>
    <w:p w14:paraId="3819F698" w14:textId="1064A61D" w:rsidR="00436387" w:rsidRPr="00CE2CA6" w:rsidRDefault="00436387"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Jason.Vail@americanbar.org</w:t>
      </w:r>
    </w:p>
    <w:p w14:paraId="49845BBA" w14:textId="77777777" w:rsidR="00700BCD" w:rsidRPr="00CE2CA6" w:rsidRDefault="00700BCD"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p>
    <w:p w14:paraId="0CC0E89A" w14:textId="3B203FAA" w:rsidR="00090C66" w:rsidRPr="00CE2CA6" w:rsidRDefault="00F669D7"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Malia Brink</w:t>
      </w:r>
    </w:p>
    <w:p w14:paraId="5FA80860" w14:textId="2F6D0691" w:rsidR="00090C66" w:rsidRPr="00CE2CA6" w:rsidRDefault="00E72A02"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 xml:space="preserve">Counsel for Public Defense </w:t>
      </w:r>
      <w:r w:rsidR="00090C66" w:rsidRPr="00CE2CA6">
        <w:rPr>
          <w:rFonts w:ascii="Arial" w:hAnsi="Arial" w:cs="Arial"/>
        </w:rPr>
        <w:t xml:space="preserve"> </w:t>
      </w:r>
    </w:p>
    <w:p w14:paraId="04A1AA8B" w14:textId="50828B21" w:rsidR="00E72A02" w:rsidRPr="00CE2CA6" w:rsidRDefault="00E72A02"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Standing Committee on Legal Aid and Indigent Defendants</w:t>
      </w:r>
    </w:p>
    <w:p w14:paraId="4C564010" w14:textId="77777777" w:rsidR="00090C66" w:rsidRPr="00CE2CA6" w:rsidRDefault="00090C66"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American Bar Association</w:t>
      </w:r>
    </w:p>
    <w:p w14:paraId="23E482F3" w14:textId="77777777" w:rsidR="00090C66" w:rsidRPr="00CE2CA6" w:rsidRDefault="00090C66"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1050 Avenue NW, Suite 400</w:t>
      </w:r>
    </w:p>
    <w:p w14:paraId="108075A7" w14:textId="77777777" w:rsidR="00090C66" w:rsidRPr="00CE2CA6" w:rsidRDefault="00090C66" w:rsidP="00090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Washington, D.C. 20036</w:t>
      </w:r>
    </w:p>
    <w:p w14:paraId="7E5B15F1" w14:textId="1AF4F534" w:rsidR="00E72A02" w:rsidRPr="00CE2CA6" w:rsidRDefault="00436387" w:rsidP="00E72A0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202-</w:t>
      </w:r>
      <w:r w:rsidR="004B6E87" w:rsidRPr="00CE2CA6">
        <w:rPr>
          <w:rFonts w:ascii="Arial" w:hAnsi="Arial" w:cs="Arial"/>
        </w:rPr>
        <w:t>662-1584</w:t>
      </w:r>
    </w:p>
    <w:p w14:paraId="2920FAC9" w14:textId="73E57A46" w:rsidR="00090C66" w:rsidRPr="00CE2CA6" w:rsidRDefault="00E72A02" w:rsidP="00E72A0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 xml:space="preserve">Malia.Brink@americanbar.org </w:t>
      </w:r>
    </w:p>
    <w:p w14:paraId="3006B7AB" w14:textId="77777777" w:rsidR="00090C66" w:rsidRPr="00CE2CA6" w:rsidRDefault="00090C66" w:rsidP="007C33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p>
    <w:p w14:paraId="36C67289" w14:textId="77777777" w:rsidR="006750E6" w:rsidRPr="00CE2CA6" w:rsidRDefault="006750E6" w:rsidP="00C3764C">
      <w:pPr>
        <w:tabs>
          <w:tab w:val="left" w:pos="720"/>
        </w:tabs>
        <w:ind w:left="360"/>
        <w:rPr>
          <w:rFonts w:ascii="Arial" w:hAnsi="Arial" w:cs="Arial"/>
        </w:rPr>
      </w:pPr>
    </w:p>
    <w:p w14:paraId="7624B7E6" w14:textId="38B5B644" w:rsidR="006750E6" w:rsidRPr="00CE2CA6" w:rsidRDefault="00C3764C" w:rsidP="00C3764C">
      <w:pPr>
        <w:widowControl w:val="0"/>
        <w:numPr>
          <w:ilvl w:val="0"/>
          <w:numId w:val="1"/>
        </w:numPr>
        <w:tabs>
          <w:tab w:val="clear" w:pos="720"/>
        </w:tabs>
        <w:autoSpaceDE w:val="0"/>
        <w:autoSpaceDN w:val="0"/>
        <w:adjustRightInd w:val="0"/>
        <w:ind w:left="360" w:hanging="450"/>
        <w:rPr>
          <w:rFonts w:ascii="Arial" w:hAnsi="Arial" w:cs="Arial"/>
        </w:rPr>
      </w:pPr>
      <w:r w:rsidRPr="00CE2CA6">
        <w:rPr>
          <w:rFonts w:ascii="Arial" w:hAnsi="Arial" w:cs="Arial"/>
          <w:bCs/>
          <w:u w:val="single"/>
        </w:rPr>
        <w:t>Contact Name and Address Information</w:t>
      </w:r>
      <w:r w:rsidR="00EA5AD2" w:rsidRPr="00CE2CA6">
        <w:rPr>
          <w:rFonts w:ascii="Arial" w:hAnsi="Arial" w:cs="Arial"/>
          <w:bCs/>
          <w:u w:val="single"/>
        </w:rPr>
        <w:t xml:space="preserve"> (To Present at House of Delegates)</w:t>
      </w:r>
      <w:r w:rsidRPr="00CE2CA6">
        <w:rPr>
          <w:rFonts w:ascii="Arial" w:hAnsi="Arial" w:cs="Arial"/>
          <w:bCs/>
        </w:rPr>
        <w:t xml:space="preserve">. </w:t>
      </w:r>
    </w:p>
    <w:p w14:paraId="54555FD1" w14:textId="77777777" w:rsidR="00090C66" w:rsidRPr="00CE2CA6" w:rsidRDefault="00090C66" w:rsidP="00090C66">
      <w:pPr>
        <w:widowControl w:val="0"/>
        <w:autoSpaceDE w:val="0"/>
        <w:autoSpaceDN w:val="0"/>
        <w:adjustRightInd w:val="0"/>
        <w:ind w:left="360"/>
        <w:rPr>
          <w:rFonts w:ascii="Arial" w:hAnsi="Arial" w:cs="Arial"/>
        </w:rPr>
      </w:pPr>
    </w:p>
    <w:p w14:paraId="6D9A8D71" w14:textId="77777777" w:rsidR="000D47C4" w:rsidRPr="00CE2CA6" w:rsidRDefault="000D47C4" w:rsidP="000D4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Theodore A. Howard</w:t>
      </w:r>
    </w:p>
    <w:p w14:paraId="5D311A8A" w14:textId="77777777" w:rsidR="000D47C4" w:rsidRPr="00CE2CA6" w:rsidRDefault="000D47C4" w:rsidP="000D4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Wiley Rein</w:t>
      </w:r>
    </w:p>
    <w:p w14:paraId="3FD40EF4" w14:textId="77777777" w:rsidR="000D47C4" w:rsidRPr="00CE2CA6" w:rsidRDefault="000D47C4" w:rsidP="000D4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1776 K Street NW</w:t>
      </w:r>
    </w:p>
    <w:p w14:paraId="454E72EB" w14:textId="77777777" w:rsidR="000D47C4" w:rsidRPr="00CE2CA6" w:rsidRDefault="000D47C4" w:rsidP="000D4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Washington, DC 20006</w:t>
      </w:r>
    </w:p>
    <w:p w14:paraId="6D9B77C3" w14:textId="77777777" w:rsidR="000D47C4" w:rsidRPr="00CE2CA6" w:rsidRDefault="000D47C4" w:rsidP="000D4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r w:rsidRPr="00CE2CA6">
        <w:rPr>
          <w:rFonts w:ascii="Arial" w:hAnsi="Arial" w:cs="Arial"/>
        </w:rPr>
        <w:t>202-719-7120</w:t>
      </w:r>
    </w:p>
    <w:p w14:paraId="004E5E3E" w14:textId="77777777" w:rsidR="000D47C4" w:rsidRPr="00CE2CA6" w:rsidRDefault="00A966C1" w:rsidP="000D4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hyperlink r:id="rId18" w:history="1">
        <w:r w:rsidR="000D47C4" w:rsidRPr="00CE2CA6">
          <w:rPr>
            <w:rStyle w:val="Hyperlink"/>
            <w:rFonts w:ascii="Arial" w:hAnsi="Arial" w:cs="Arial"/>
          </w:rPr>
          <w:t>thoward@wiley.law</w:t>
        </w:r>
      </w:hyperlink>
    </w:p>
    <w:p w14:paraId="36E23723" w14:textId="77777777" w:rsidR="008D30A4" w:rsidRPr="00CE2CA6" w:rsidRDefault="008D30A4" w:rsidP="001E2F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highlight w:val="yellow"/>
        </w:rPr>
      </w:pPr>
    </w:p>
    <w:p w14:paraId="1F69FECD" w14:textId="77777777" w:rsidR="006750E6" w:rsidRPr="00CE2CA6" w:rsidRDefault="00A130AF" w:rsidP="00012D9C">
      <w:pPr>
        <w:jc w:val="center"/>
        <w:rPr>
          <w:rFonts w:ascii="Arial" w:hAnsi="Arial" w:cs="Arial"/>
          <w:b/>
          <w:u w:val="single"/>
        </w:rPr>
      </w:pPr>
      <w:r w:rsidRPr="00CE2CA6">
        <w:rPr>
          <w:rFonts w:ascii="Arial" w:hAnsi="Arial" w:cs="Arial"/>
          <w:b/>
          <w:u w:val="single"/>
        </w:rPr>
        <w:br w:type="page"/>
      </w:r>
      <w:r w:rsidR="006750E6" w:rsidRPr="00CE2CA6">
        <w:rPr>
          <w:rFonts w:ascii="Arial" w:hAnsi="Arial" w:cs="Arial"/>
          <w:b/>
          <w:u w:val="single"/>
        </w:rPr>
        <w:t>EXECUTIVE SUMMARY</w:t>
      </w:r>
    </w:p>
    <w:p w14:paraId="4060C415" w14:textId="77777777" w:rsidR="006750E6" w:rsidRPr="00CE2CA6" w:rsidRDefault="006750E6" w:rsidP="00012D9C">
      <w:pPr>
        <w:rPr>
          <w:rFonts w:ascii="Arial" w:hAnsi="Arial" w:cs="Arial"/>
          <w:u w:val="single"/>
        </w:rPr>
      </w:pPr>
    </w:p>
    <w:p w14:paraId="5B4F29A7" w14:textId="77777777" w:rsidR="006750E6" w:rsidRPr="00CE2CA6" w:rsidRDefault="006750E6" w:rsidP="00012D9C">
      <w:pPr>
        <w:rPr>
          <w:rFonts w:ascii="Arial" w:hAnsi="Arial" w:cs="Arial"/>
        </w:rPr>
      </w:pPr>
    </w:p>
    <w:p w14:paraId="06FDC536" w14:textId="28CD481D" w:rsidR="006750E6" w:rsidRPr="00CE2CA6" w:rsidRDefault="006750E6" w:rsidP="005E44C1">
      <w:pPr>
        <w:pStyle w:val="ListParagraph"/>
        <w:numPr>
          <w:ilvl w:val="0"/>
          <w:numId w:val="12"/>
        </w:numPr>
        <w:rPr>
          <w:rFonts w:ascii="Arial" w:hAnsi="Arial" w:cs="Arial"/>
          <w:u w:val="single"/>
        </w:rPr>
      </w:pPr>
      <w:r w:rsidRPr="00CE2CA6">
        <w:rPr>
          <w:rFonts w:ascii="Arial" w:hAnsi="Arial" w:cs="Arial"/>
          <w:u w:val="single"/>
        </w:rPr>
        <w:t xml:space="preserve">Summary of the Resolution </w:t>
      </w:r>
    </w:p>
    <w:p w14:paraId="2C1E7DCF" w14:textId="7A53201B" w:rsidR="005E44C1" w:rsidRPr="00CE2CA6" w:rsidRDefault="005E44C1" w:rsidP="005E44C1">
      <w:pPr>
        <w:pStyle w:val="ListParagraph"/>
        <w:ind w:left="1080"/>
        <w:rPr>
          <w:rFonts w:ascii="Arial" w:hAnsi="Arial" w:cs="Arial"/>
          <w:u w:val="single"/>
        </w:rPr>
      </w:pPr>
    </w:p>
    <w:p w14:paraId="6203965B" w14:textId="3EAC064A" w:rsidR="005E44C1" w:rsidRPr="00CE2CA6" w:rsidRDefault="005E44C1" w:rsidP="005F592F">
      <w:pPr>
        <w:pStyle w:val="ListParagraph"/>
        <w:ind w:left="0"/>
        <w:rPr>
          <w:rFonts w:ascii="Arial" w:hAnsi="Arial" w:cs="Arial"/>
          <w:u w:val="single"/>
        </w:rPr>
      </w:pPr>
      <w:r w:rsidRPr="00CE2CA6">
        <w:rPr>
          <w:rFonts w:ascii="Arial" w:hAnsi="Arial" w:cs="Arial"/>
        </w:rPr>
        <w:t xml:space="preserve">The Resolution calls upon jurisdictions to create commissions to evaluate and revise virtual and remote court proceedings implemented during the COVID-19 crisis and provides a set of criteria to be considered during that review.  </w:t>
      </w:r>
    </w:p>
    <w:p w14:paraId="76B67E5A" w14:textId="77777777" w:rsidR="006750E6" w:rsidRPr="00CE2CA6" w:rsidRDefault="006750E6" w:rsidP="00012D9C">
      <w:pPr>
        <w:rPr>
          <w:rFonts w:ascii="Arial" w:hAnsi="Arial" w:cs="Arial"/>
        </w:rPr>
      </w:pPr>
    </w:p>
    <w:p w14:paraId="521A3ABB" w14:textId="77777777" w:rsidR="006750E6" w:rsidRPr="00CE2CA6" w:rsidRDefault="006750E6" w:rsidP="00012D9C">
      <w:pPr>
        <w:rPr>
          <w:rFonts w:ascii="Arial" w:hAnsi="Arial" w:cs="Arial"/>
          <w:u w:val="single"/>
        </w:rPr>
      </w:pPr>
      <w:r w:rsidRPr="00CE2CA6">
        <w:rPr>
          <w:rFonts w:ascii="Arial" w:hAnsi="Arial" w:cs="Arial"/>
        </w:rPr>
        <w:t>2.</w:t>
      </w:r>
      <w:r w:rsidRPr="00CE2CA6">
        <w:rPr>
          <w:rFonts w:ascii="Arial" w:hAnsi="Arial" w:cs="Arial"/>
        </w:rPr>
        <w:tab/>
      </w:r>
      <w:r w:rsidRPr="00CE2CA6">
        <w:rPr>
          <w:rFonts w:ascii="Arial" w:hAnsi="Arial" w:cs="Arial"/>
          <w:u w:val="single"/>
        </w:rPr>
        <w:t>Summary of the Issue that the Resolution Addresses</w:t>
      </w:r>
    </w:p>
    <w:p w14:paraId="534BF179" w14:textId="13C3988E" w:rsidR="006750E6" w:rsidRPr="00CE2CA6" w:rsidRDefault="006750E6" w:rsidP="00012D9C">
      <w:pPr>
        <w:rPr>
          <w:rFonts w:ascii="Arial" w:hAnsi="Arial" w:cs="Arial"/>
          <w:u w:val="single"/>
        </w:rPr>
      </w:pPr>
    </w:p>
    <w:p w14:paraId="51C04618" w14:textId="47EB8260" w:rsidR="005F592F" w:rsidRPr="00CE2CA6" w:rsidRDefault="005F592F" w:rsidP="00012D9C">
      <w:pPr>
        <w:rPr>
          <w:rFonts w:ascii="Arial" w:hAnsi="Arial" w:cs="Arial"/>
          <w:u w:val="single"/>
        </w:rPr>
      </w:pPr>
      <w:r w:rsidRPr="00CE2CA6">
        <w:rPr>
          <w:rFonts w:ascii="Arial" w:hAnsi="Arial" w:cs="Arial"/>
          <w:lang w:val="en"/>
        </w:rPr>
        <w:t>During the COVID-19 pandemic, courts have endeavored find ways to operate safely, while also ensuring that essential proceedings continue. In many jurisdictions, this has involved quickly setting up remote</w:t>
      </w:r>
      <w:r w:rsidR="00277720" w:rsidRPr="00CE2CA6">
        <w:rPr>
          <w:rFonts w:ascii="Arial" w:hAnsi="Arial" w:cs="Arial"/>
          <w:lang w:val="en"/>
        </w:rPr>
        <w:t xml:space="preserve"> or vi</w:t>
      </w:r>
      <w:r w:rsidR="002A3001" w:rsidRPr="00CE2CA6">
        <w:rPr>
          <w:rFonts w:ascii="Arial" w:hAnsi="Arial" w:cs="Arial"/>
          <w:lang w:val="en"/>
        </w:rPr>
        <w:t>r</w:t>
      </w:r>
      <w:r w:rsidR="00277720" w:rsidRPr="00CE2CA6">
        <w:rPr>
          <w:rFonts w:ascii="Arial" w:hAnsi="Arial" w:cs="Arial"/>
          <w:lang w:val="en"/>
        </w:rPr>
        <w:t>tual</w:t>
      </w:r>
      <w:r w:rsidRPr="00CE2CA6">
        <w:rPr>
          <w:rFonts w:ascii="Arial" w:hAnsi="Arial" w:cs="Arial"/>
          <w:lang w:val="en"/>
        </w:rPr>
        <w:t xml:space="preserve"> courts, using meeting technologies such as Zoom or Go to Meeting.</w:t>
      </w:r>
      <w:r w:rsidR="002A3001" w:rsidRPr="00CE2CA6">
        <w:rPr>
          <w:rFonts w:ascii="Arial" w:hAnsi="Arial" w:cs="Arial"/>
          <w:lang w:val="en"/>
        </w:rPr>
        <w:t xml:space="preserve"> Because these procedures were established in response to a crisis, time could not be taken to fully consider the </w:t>
      </w:r>
      <w:r w:rsidR="006A7F6B" w:rsidRPr="00CE2CA6">
        <w:rPr>
          <w:rFonts w:ascii="Arial" w:hAnsi="Arial" w:cs="Arial"/>
          <w:lang w:val="en"/>
        </w:rPr>
        <w:t>impact of these procedures on access – both for participants and the public, privacy</w:t>
      </w:r>
      <w:r w:rsidR="009D6099" w:rsidRPr="00CE2CA6">
        <w:rPr>
          <w:rFonts w:ascii="Arial" w:hAnsi="Arial" w:cs="Arial"/>
          <w:lang w:val="en"/>
        </w:rPr>
        <w:t xml:space="preserve"> and</w:t>
      </w:r>
      <w:r w:rsidR="006A7F6B" w:rsidRPr="00CE2CA6">
        <w:rPr>
          <w:rFonts w:ascii="Arial" w:hAnsi="Arial" w:cs="Arial"/>
          <w:lang w:val="en"/>
        </w:rPr>
        <w:t xml:space="preserve"> attorney-client relationships</w:t>
      </w:r>
      <w:r w:rsidR="009D6099" w:rsidRPr="00CE2CA6">
        <w:rPr>
          <w:rFonts w:ascii="Arial" w:hAnsi="Arial" w:cs="Arial"/>
          <w:lang w:val="en"/>
        </w:rPr>
        <w:t xml:space="preserve">. </w:t>
      </w:r>
    </w:p>
    <w:p w14:paraId="5594E7C5" w14:textId="77777777" w:rsidR="006750E6" w:rsidRPr="00CE2CA6" w:rsidRDefault="006750E6" w:rsidP="00012D9C">
      <w:pPr>
        <w:rPr>
          <w:rFonts w:ascii="Arial" w:hAnsi="Arial" w:cs="Arial"/>
          <w:u w:val="single"/>
        </w:rPr>
      </w:pPr>
    </w:p>
    <w:p w14:paraId="4C8C63A8" w14:textId="77777777" w:rsidR="006750E6" w:rsidRPr="00CE2CA6" w:rsidRDefault="006750E6" w:rsidP="00012D9C">
      <w:pPr>
        <w:rPr>
          <w:rFonts w:ascii="Arial" w:hAnsi="Arial" w:cs="Arial"/>
        </w:rPr>
      </w:pPr>
    </w:p>
    <w:p w14:paraId="40D7FDDF" w14:textId="77777777" w:rsidR="006750E6" w:rsidRPr="00CE2CA6" w:rsidRDefault="006750E6" w:rsidP="00012D9C">
      <w:pPr>
        <w:rPr>
          <w:rFonts w:ascii="Arial" w:hAnsi="Arial" w:cs="Arial"/>
        </w:rPr>
      </w:pPr>
      <w:r w:rsidRPr="00CE2CA6">
        <w:rPr>
          <w:rFonts w:ascii="Arial" w:hAnsi="Arial" w:cs="Arial"/>
        </w:rPr>
        <w:t>3.</w:t>
      </w:r>
      <w:r w:rsidRPr="00CE2CA6">
        <w:rPr>
          <w:rFonts w:ascii="Arial" w:hAnsi="Arial" w:cs="Arial"/>
        </w:rPr>
        <w:tab/>
      </w:r>
      <w:r w:rsidRPr="00CE2CA6">
        <w:rPr>
          <w:rFonts w:ascii="Arial" w:hAnsi="Arial" w:cs="Arial"/>
          <w:u w:val="single"/>
        </w:rPr>
        <w:t xml:space="preserve">Please Explain How the Proposed Policy Position </w:t>
      </w:r>
      <w:r w:rsidR="00397373" w:rsidRPr="00CE2CA6">
        <w:rPr>
          <w:rFonts w:ascii="Arial" w:hAnsi="Arial" w:cs="Arial"/>
          <w:u w:val="single"/>
        </w:rPr>
        <w:t>W</w:t>
      </w:r>
      <w:r w:rsidRPr="00CE2CA6">
        <w:rPr>
          <w:rFonts w:ascii="Arial" w:hAnsi="Arial" w:cs="Arial"/>
          <w:u w:val="single"/>
        </w:rPr>
        <w:t xml:space="preserve">ill </w:t>
      </w:r>
      <w:r w:rsidR="008465ED" w:rsidRPr="00CE2CA6">
        <w:rPr>
          <w:rFonts w:ascii="Arial" w:hAnsi="Arial" w:cs="Arial"/>
          <w:u w:val="single"/>
        </w:rPr>
        <w:t>A</w:t>
      </w:r>
      <w:r w:rsidRPr="00CE2CA6">
        <w:rPr>
          <w:rFonts w:ascii="Arial" w:hAnsi="Arial" w:cs="Arial"/>
          <w:u w:val="single"/>
        </w:rPr>
        <w:t xml:space="preserve">ddress the </w:t>
      </w:r>
      <w:r w:rsidR="008465ED" w:rsidRPr="00CE2CA6">
        <w:rPr>
          <w:rFonts w:ascii="Arial" w:hAnsi="Arial" w:cs="Arial"/>
          <w:u w:val="single"/>
        </w:rPr>
        <w:t>I</w:t>
      </w:r>
      <w:r w:rsidRPr="00CE2CA6">
        <w:rPr>
          <w:rFonts w:ascii="Arial" w:hAnsi="Arial" w:cs="Arial"/>
          <w:u w:val="single"/>
        </w:rPr>
        <w:t>ssue</w:t>
      </w:r>
      <w:r w:rsidRPr="00CE2CA6">
        <w:rPr>
          <w:rFonts w:ascii="Arial" w:hAnsi="Arial" w:cs="Arial"/>
        </w:rPr>
        <w:t xml:space="preserve"> </w:t>
      </w:r>
    </w:p>
    <w:p w14:paraId="393325AF" w14:textId="77777777" w:rsidR="006750E6" w:rsidRPr="00CE2CA6" w:rsidRDefault="006750E6" w:rsidP="00012D9C">
      <w:pPr>
        <w:rPr>
          <w:rFonts w:ascii="Arial" w:hAnsi="Arial" w:cs="Arial"/>
        </w:rPr>
      </w:pPr>
    </w:p>
    <w:p w14:paraId="0B8868F6" w14:textId="6F8BA5D0" w:rsidR="006750E6" w:rsidRPr="00CE2CA6" w:rsidRDefault="009D6099" w:rsidP="00012D9C">
      <w:pPr>
        <w:rPr>
          <w:rFonts w:ascii="Arial" w:hAnsi="Arial" w:cs="Arial"/>
        </w:rPr>
      </w:pPr>
      <w:r w:rsidRPr="00CE2CA6">
        <w:rPr>
          <w:rFonts w:ascii="Arial" w:hAnsi="Arial" w:cs="Arial"/>
        </w:rPr>
        <w:t>The proposed Resolution urges jurisdictions to create committee(s)</w:t>
      </w:r>
      <w:r w:rsidR="00343EF4" w:rsidRPr="00CE2CA6">
        <w:rPr>
          <w:rFonts w:ascii="Arial" w:hAnsi="Arial" w:cs="Arial"/>
        </w:rPr>
        <w:t>, including all key stakeholders,</w:t>
      </w:r>
      <w:r w:rsidRPr="00CE2CA6">
        <w:rPr>
          <w:rFonts w:ascii="Arial" w:hAnsi="Arial" w:cs="Arial"/>
        </w:rPr>
        <w:t xml:space="preserve"> to review existing or planned </w:t>
      </w:r>
      <w:r w:rsidR="00343EF4" w:rsidRPr="00CE2CA6">
        <w:rPr>
          <w:rFonts w:ascii="Arial" w:hAnsi="Arial" w:cs="Arial"/>
        </w:rPr>
        <w:t xml:space="preserve">virtual or remote court procedures and provides a set of criteria </w:t>
      </w:r>
      <w:r w:rsidR="00843FF1" w:rsidRPr="00CE2CA6">
        <w:rPr>
          <w:rFonts w:ascii="Arial" w:hAnsi="Arial" w:cs="Arial"/>
        </w:rPr>
        <w:t>for evaluation</w:t>
      </w:r>
      <w:r w:rsidR="00343EF4" w:rsidRPr="00CE2CA6">
        <w:rPr>
          <w:rFonts w:ascii="Arial" w:hAnsi="Arial" w:cs="Arial"/>
        </w:rPr>
        <w:t>.</w:t>
      </w:r>
      <w:r w:rsidR="00843FF1" w:rsidRPr="00CE2CA6">
        <w:rPr>
          <w:rFonts w:ascii="Arial" w:hAnsi="Arial" w:cs="Arial"/>
        </w:rPr>
        <w:t xml:space="preserve"> The criteria prioritizes ensuring </w:t>
      </w:r>
      <w:r w:rsidR="00F251ED" w:rsidRPr="00CE2CA6">
        <w:rPr>
          <w:rFonts w:ascii="Arial" w:hAnsi="Arial" w:cs="Arial"/>
        </w:rPr>
        <w:t xml:space="preserve">equal and full </w:t>
      </w:r>
      <w:r w:rsidR="00843FF1" w:rsidRPr="00CE2CA6">
        <w:rPr>
          <w:rFonts w:ascii="Arial" w:hAnsi="Arial" w:cs="Arial"/>
        </w:rPr>
        <w:t xml:space="preserve">access for </w:t>
      </w:r>
      <w:r w:rsidR="00F251ED" w:rsidRPr="00CE2CA6">
        <w:rPr>
          <w:rFonts w:ascii="Arial" w:hAnsi="Arial" w:cs="Arial"/>
        </w:rPr>
        <w:t xml:space="preserve">all participants, </w:t>
      </w:r>
      <w:r w:rsidR="003C2FA8" w:rsidRPr="00CE2CA6">
        <w:rPr>
          <w:rFonts w:ascii="Arial" w:hAnsi="Arial" w:cs="Arial"/>
        </w:rPr>
        <w:t>maintaining a robust attorney-client relationship</w:t>
      </w:r>
      <w:r w:rsidR="00843FF1" w:rsidRPr="00CE2CA6">
        <w:rPr>
          <w:rFonts w:ascii="Arial" w:hAnsi="Arial" w:cs="Arial"/>
        </w:rPr>
        <w:t>,</w:t>
      </w:r>
      <w:r w:rsidR="003C2FA8" w:rsidRPr="00CE2CA6">
        <w:rPr>
          <w:rFonts w:ascii="Arial" w:hAnsi="Arial" w:cs="Arial"/>
        </w:rPr>
        <w:t xml:space="preserve"> and ensuring public access or privacy of proceedings as appropriate for the type of hearing.</w:t>
      </w:r>
      <w:r w:rsidR="00843FF1" w:rsidRPr="00CE2CA6">
        <w:rPr>
          <w:rFonts w:ascii="Arial" w:hAnsi="Arial" w:cs="Arial"/>
        </w:rPr>
        <w:t xml:space="preserve"> </w:t>
      </w:r>
      <w:r w:rsidR="003C2FA8" w:rsidRPr="00CE2CA6">
        <w:rPr>
          <w:rFonts w:ascii="Arial" w:hAnsi="Arial" w:cs="Arial"/>
        </w:rPr>
        <w:t xml:space="preserve">The Resolution further calls on </w:t>
      </w:r>
      <w:r w:rsidR="00956B0B" w:rsidRPr="00CE2CA6">
        <w:rPr>
          <w:rFonts w:ascii="Arial" w:hAnsi="Arial" w:cs="Arial"/>
        </w:rPr>
        <w:t>jurisdictions to study or support the studying of procedures for possible bias or disparate impact and make adjustments accordingly.</w:t>
      </w:r>
    </w:p>
    <w:p w14:paraId="0B2F4AC3" w14:textId="77777777" w:rsidR="006750E6" w:rsidRPr="00CE2CA6" w:rsidRDefault="006750E6" w:rsidP="00012D9C">
      <w:pPr>
        <w:rPr>
          <w:rFonts w:ascii="Arial" w:hAnsi="Arial" w:cs="Arial"/>
        </w:rPr>
      </w:pPr>
    </w:p>
    <w:p w14:paraId="3053C075" w14:textId="390D65C4" w:rsidR="006750E6" w:rsidRPr="00CE2CA6" w:rsidRDefault="006750E6" w:rsidP="003B3723">
      <w:pPr>
        <w:ind w:left="720" w:hanging="720"/>
        <w:rPr>
          <w:rFonts w:ascii="Arial" w:hAnsi="Arial" w:cs="Arial"/>
          <w:u w:val="single"/>
        </w:rPr>
      </w:pPr>
      <w:r w:rsidRPr="00CE2CA6">
        <w:rPr>
          <w:rFonts w:ascii="Arial" w:hAnsi="Arial" w:cs="Arial"/>
        </w:rPr>
        <w:t>4.</w:t>
      </w:r>
      <w:r w:rsidRPr="00CE2CA6">
        <w:rPr>
          <w:rFonts w:ascii="Arial" w:hAnsi="Arial" w:cs="Arial"/>
        </w:rPr>
        <w:tab/>
      </w:r>
      <w:r w:rsidRPr="00CE2CA6">
        <w:rPr>
          <w:rFonts w:ascii="Arial" w:hAnsi="Arial" w:cs="Arial"/>
          <w:u w:val="single"/>
        </w:rPr>
        <w:t>Summary of Minority Views</w:t>
      </w:r>
      <w:r w:rsidR="00B75617" w:rsidRPr="00CE2CA6">
        <w:rPr>
          <w:rFonts w:ascii="Arial" w:hAnsi="Arial" w:cs="Arial"/>
          <w:u w:val="single"/>
        </w:rPr>
        <w:t xml:space="preserve"> or Opposition </w:t>
      </w:r>
      <w:r w:rsidR="008465ED" w:rsidRPr="00CE2CA6">
        <w:rPr>
          <w:rFonts w:ascii="Arial" w:hAnsi="Arial" w:cs="Arial"/>
          <w:u w:val="single"/>
        </w:rPr>
        <w:t>I</w:t>
      </w:r>
      <w:r w:rsidR="00B75617" w:rsidRPr="00CE2CA6">
        <w:rPr>
          <w:rFonts w:ascii="Arial" w:hAnsi="Arial" w:cs="Arial"/>
          <w:u w:val="single"/>
        </w:rPr>
        <w:t xml:space="preserve">nternal and/or </w:t>
      </w:r>
      <w:r w:rsidR="008465ED" w:rsidRPr="00CE2CA6">
        <w:rPr>
          <w:rFonts w:ascii="Arial" w:hAnsi="Arial" w:cs="Arial"/>
          <w:u w:val="single"/>
        </w:rPr>
        <w:t>E</w:t>
      </w:r>
      <w:r w:rsidR="00B75617" w:rsidRPr="00CE2CA6">
        <w:rPr>
          <w:rFonts w:ascii="Arial" w:hAnsi="Arial" w:cs="Arial"/>
          <w:u w:val="single"/>
        </w:rPr>
        <w:t>xternal to the ABA</w:t>
      </w:r>
      <w:r w:rsidR="003B3723" w:rsidRPr="00CE2CA6">
        <w:rPr>
          <w:rFonts w:ascii="Arial" w:hAnsi="Arial" w:cs="Arial"/>
          <w:u w:val="single"/>
        </w:rPr>
        <w:t xml:space="preserve"> </w:t>
      </w:r>
      <w:r w:rsidR="00397373" w:rsidRPr="00CE2CA6">
        <w:rPr>
          <w:rFonts w:ascii="Arial" w:hAnsi="Arial" w:cs="Arial"/>
          <w:u w:val="single"/>
        </w:rPr>
        <w:t>W</w:t>
      </w:r>
      <w:r w:rsidR="008465ED" w:rsidRPr="00CE2CA6">
        <w:rPr>
          <w:rFonts w:ascii="Arial" w:hAnsi="Arial" w:cs="Arial"/>
          <w:u w:val="single"/>
        </w:rPr>
        <w:t xml:space="preserve">hich </w:t>
      </w:r>
      <w:r w:rsidR="00397373" w:rsidRPr="00CE2CA6">
        <w:rPr>
          <w:rFonts w:ascii="Arial" w:hAnsi="Arial" w:cs="Arial"/>
          <w:u w:val="single"/>
        </w:rPr>
        <w:t>H</w:t>
      </w:r>
      <w:r w:rsidR="008465ED" w:rsidRPr="00CE2CA6">
        <w:rPr>
          <w:rFonts w:ascii="Arial" w:hAnsi="Arial" w:cs="Arial"/>
          <w:u w:val="single"/>
        </w:rPr>
        <w:t xml:space="preserve">ave </w:t>
      </w:r>
      <w:r w:rsidR="00397373" w:rsidRPr="00CE2CA6">
        <w:rPr>
          <w:rFonts w:ascii="Arial" w:hAnsi="Arial" w:cs="Arial"/>
          <w:u w:val="single"/>
        </w:rPr>
        <w:t>B</w:t>
      </w:r>
      <w:r w:rsidR="008465ED" w:rsidRPr="00CE2CA6">
        <w:rPr>
          <w:rFonts w:ascii="Arial" w:hAnsi="Arial" w:cs="Arial"/>
          <w:u w:val="single"/>
        </w:rPr>
        <w:t xml:space="preserve">een </w:t>
      </w:r>
      <w:r w:rsidR="00397373" w:rsidRPr="00CE2CA6">
        <w:rPr>
          <w:rFonts w:ascii="Arial" w:hAnsi="Arial" w:cs="Arial"/>
          <w:u w:val="single"/>
        </w:rPr>
        <w:t>I</w:t>
      </w:r>
      <w:r w:rsidR="00B75617" w:rsidRPr="00CE2CA6">
        <w:rPr>
          <w:rFonts w:ascii="Arial" w:hAnsi="Arial" w:cs="Arial"/>
          <w:u w:val="single"/>
        </w:rPr>
        <w:t>dentified</w:t>
      </w:r>
      <w:r w:rsidR="0051311C" w:rsidRPr="00CE2CA6">
        <w:rPr>
          <w:rFonts w:ascii="Arial" w:hAnsi="Arial" w:cs="Arial"/>
          <w:u w:val="single"/>
        </w:rPr>
        <w:t xml:space="preserve"> </w:t>
      </w:r>
    </w:p>
    <w:p w14:paraId="180B0307" w14:textId="77777777" w:rsidR="006750E6" w:rsidRPr="00CE2CA6" w:rsidRDefault="006750E6" w:rsidP="00012D9C">
      <w:pPr>
        <w:rPr>
          <w:rFonts w:ascii="Arial" w:hAnsi="Arial" w:cs="Arial"/>
          <w:u w:val="single"/>
        </w:rPr>
      </w:pPr>
    </w:p>
    <w:p w14:paraId="797FD1B2" w14:textId="692DD000" w:rsidR="006750E6" w:rsidRPr="00CE2CA6" w:rsidRDefault="00956B0B" w:rsidP="0088577C">
      <w:pPr>
        <w:rPr>
          <w:rFonts w:ascii="Arial" w:hAnsi="Arial" w:cs="Arial"/>
          <w:bCs/>
        </w:rPr>
      </w:pPr>
      <w:r w:rsidRPr="00CE2CA6">
        <w:rPr>
          <w:rFonts w:ascii="Arial" w:hAnsi="Arial" w:cs="Arial"/>
          <w:bCs/>
        </w:rPr>
        <w:t>No dissenting views have been articulated yet</w:t>
      </w:r>
      <w:r w:rsidR="0051311C" w:rsidRPr="00CE2CA6">
        <w:rPr>
          <w:rFonts w:ascii="Arial" w:hAnsi="Arial" w:cs="Arial"/>
          <w:bCs/>
        </w:rPr>
        <w:t xml:space="preserve">  The Resolution was crafted based on discussions with numerous other groups including individuals working with the COVID-19 Task Force</w:t>
      </w:r>
      <w:r w:rsidR="00286924" w:rsidRPr="00CE2CA6">
        <w:rPr>
          <w:rFonts w:ascii="Arial" w:hAnsi="Arial" w:cs="Arial"/>
          <w:bCs/>
        </w:rPr>
        <w:t xml:space="preserve"> and</w:t>
      </w:r>
      <w:r w:rsidR="0051311C" w:rsidRPr="00CE2CA6">
        <w:rPr>
          <w:rFonts w:ascii="Arial" w:hAnsi="Arial" w:cs="Arial"/>
          <w:bCs/>
        </w:rPr>
        <w:t xml:space="preserve"> the </w:t>
      </w:r>
      <w:r w:rsidR="00286924" w:rsidRPr="00CE2CA6">
        <w:rPr>
          <w:rFonts w:ascii="Arial" w:hAnsi="Arial" w:cs="Arial"/>
          <w:bCs/>
        </w:rPr>
        <w:t>Section on Civil Rights and Social Justice. However, due to time constraints, the actual language is being distributed to most groups in conjunction with this submission. SCLAID anticipates receiving significant comments and making changes to both the Resolution and Report in response to these comments.</w:t>
      </w:r>
    </w:p>
    <w:sectPr w:rsidR="006750E6" w:rsidRPr="00CE2CA6" w:rsidSect="00A130A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7638" w14:textId="77777777" w:rsidR="0040799E" w:rsidRDefault="0040799E" w:rsidP="00730FE5">
      <w:r>
        <w:separator/>
      </w:r>
    </w:p>
  </w:endnote>
  <w:endnote w:type="continuationSeparator" w:id="0">
    <w:p w14:paraId="1AB40165" w14:textId="77777777" w:rsidR="0040799E" w:rsidRDefault="0040799E" w:rsidP="0073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010D" w14:textId="77777777" w:rsidR="000921BD" w:rsidRDefault="000921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7890" w14:textId="32F1EB60" w:rsidR="000921BD" w:rsidRDefault="000921BD">
    <w:pPr>
      <w:pStyle w:val="Footer"/>
      <w:jc w:val="center"/>
    </w:pPr>
    <w:r>
      <w:fldChar w:fldCharType="begin"/>
    </w:r>
    <w:r>
      <w:instrText xml:space="preserve"> PAGE   \* MERGEFORMAT </w:instrText>
    </w:r>
    <w:r>
      <w:fldChar w:fldCharType="separate"/>
    </w:r>
    <w:r w:rsidR="00A966C1">
      <w:rPr>
        <w:noProof/>
      </w:rPr>
      <w:t>1</w:t>
    </w:r>
    <w:r>
      <w:rPr>
        <w:noProof/>
      </w:rPr>
      <w:fldChar w:fldCharType="end"/>
    </w:r>
  </w:p>
  <w:p w14:paraId="55E8106A" w14:textId="77777777" w:rsidR="000921BD" w:rsidRDefault="000921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472B" w14:textId="77777777" w:rsidR="000921BD" w:rsidRDefault="00092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0370" w14:textId="77777777" w:rsidR="0040799E" w:rsidRDefault="0040799E" w:rsidP="00730FE5">
      <w:r>
        <w:separator/>
      </w:r>
    </w:p>
  </w:footnote>
  <w:footnote w:type="continuationSeparator" w:id="0">
    <w:p w14:paraId="5FD608E2" w14:textId="77777777" w:rsidR="0040799E" w:rsidRDefault="0040799E" w:rsidP="00730FE5">
      <w:r>
        <w:continuationSeparator/>
      </w:r>
    </w:p>
  </w:footnote>
  <w:footnote w:id="1">
    <w:p w14:paraId="1669EC30" w14:textId="560898AB" w:rsidR="00BF6796" w:rsidRPr="00CE2CA6" w:rsidRDefault="00BF6796">
      <w:pPr>
        <w:pStyle w:val="FootnoteText"/>
        <w:rPr>
          <w:lang w:val="en-US"/>
        </w:rPr>
      </w:pPr>
      <w:r w:rsidRPr="00CE2CA6">
        <w:rPr>
          <w:rStyle w:val="FootnoteReference"/>
        </w:rPr>
        <w:footnoteRef/>
      </w:r>
      <w:r w:rsidRPr="00CE2CA6">
        <w:t xml:space="preserve"> </w:t>
      </w:r>
      <w:r w:rsidR="000441E3" w:rsidRPr="00CE2CA6">
        <w:rPr>
          <w:lang w:val="en-US"/>
        </w:rPr>
        <w:t xml:space="preserve">Erik De la Garza, </w:t>
      </w:r>
      <w:r w:rsidR="000441E3" w:rsidRPr="00CE2CA6">
        <w:rPr>
          <w:i/>
          <w:iCs/>
          <w:lang w:val="en-US"/>
        </w:rPr>
        <w:t xml:space="preserve">Texas Courts Zoom Forward with Virtual Hearings, </w:t>
      </w:r>
      <w:r w:rsidR="000441E3" w:rsidRPr="00CE2CA6">
        <w:rPr>
          <w:lang w:val="en-US"/>
        </w:rPr>
        <w:t>Courthouse News Service (April 24, 2020).</w:t>
      </w:r>
    </w:p>
  </w:footnote>
  <w:footnote w:id="2">
    <w:p w14:paraId="0824161D" w14:textId="10D2ABB7" w:rsidR="000573E7" w:rsidRPr="00CE2CA6" w:rsidRDefault="000573E7">
      <w:pPr>
        <w:pStyle w:val="FootnoteText"/>
        <w:rPr>
          <w:lang w:val="en-US"/>
        </w:rPr>
      </w:pPr>
      <w:r w:rsidRPr="00CE2CA6">
        <w:rPr>
          <w:rStyle w:val="FootnoteReference"/>
        </w:rPr>
        <w:footnoteRef/>
      </w:r>
      <w:r w:rsidRPr="00CE2CA6">
        <w:t xml:space="preserve"> </w:t>
      </w:r>
      <w:r w:rsidR="000C4CA3" w:rsidRPr="00CE2CA6">
        <w:rPr>
          <w:i/>
          <w:iCs/>
          <w:lang w:val="en-US"/>
        </w:rPr>
        <w:t>Id.</w:t>
      </w:r>
      <w:r w:rsidR="003548DD" w:rsidRPr="00CE2CA6">
        <w:rPr>
          <w:lang w:val="en-US"/>
        </w:rPr>
        <w:t xml:space="preserve"> As of May </w:t>
      </w:r>
      <w:r w:rsidR="003E73EE" w:rsidRPr="00CE2CA6">
        <w:rPr>
          <w:lang w:val="en-US"/>
        </w:rPr>
        <w:t xml:space="preserve">4, 2020, the National Center for State Courts website on Virtual Hearings listed five states as having </w:t>
      </w:r>
      <w:r w:rsidR="00D90085" w:rsidRPr="00CE2CA6">
        <w:rPr>
          <w:lang w:val="en-US"/>
        </w:rPr>
        <w:t xml:space="preserve">statewide orders </w:t>
      </w:r>
      <w:r w:rsidR="00915AAE" w:rsidRPr="00CE2CA6">
        <w:rPr>
          <w:lang w:val="en-US"/>
        </w:rPr>
        <w:t>requiring courts to close and mandating</w:t>
      </w:r>
      <w:r w:rsidR="00EA6C00" w:rsidRPr="00CE2CA6">
        <w:rPr>
          <w:lang w:val="en-US"/>
        </w:rPr>
        <w:t xml:space="preserve"> </w:t>
      </w:r>
      <w:r w:rsidR="00D90085" w:rsidRPr="00CE2CA6">
        <w:rPr>
          <w:lang w:val="en-US"/>
        </w:rPr>
        <w:t>virtual court proceedings</w:t>
      </w:r>
      <w:r w:rsidR="00F15E52" w:rsidRPr="00CE2CA6">
        <w:rPr>
          <w:lang w:val="en-US"/>
        </w:rPr>
        <w:t xml:space="preserve">: Delaware, Connecticut, New Jersey, </w:t>
      </w:r>
      <w:r w:rsidR="00927954" w:rsidRPr="00CE2CA6">
        <w:rPr>
          <w:lang w:val="en-US"/>
        </w:rPr>
        <w:t>New Mexico and Alaska.  An additional fourteen states have statewide orders urging the use of virtual hearings, including Wisconsin, California, Texas, Illinois and New York.</w:t>
      </w:r>
      <w:r w:rsidR="00CB792D" w:rsidRPr="00CE2CA6">
        <w:rPr>
          <w:lang w:val="en-US"/>
        </w:rPr>
        <w:t xml:space="preserve"> National Center for State Courts, Virtual Courts Chart (visited May 4, 2020), available at </w:t>
      </w:r>
      <w:hyperlink r:id="rId1" w:history="1">
        <w:r w:rsidR="00CB792D" w:rsidRPr="00CE2CA6">
          <w:rPr>
            <w:rStyle w:val="Hyperlink"/>
            <w:lang w:val="en-US"/>
          </w:rPr>
          <w:t>https://www.ncsc.org/</w:t>
        </w:r>
      </w:hyperlink>
      <w:r w:rsidR="00AF48EF" w:rsidRPr="00CE2CA6">
        <w:rPr>
          <w:lang w:val="en-US"/>
        </w:rPr>
        <w:t>.</w:t>
      </w:r>
    </w:p>
  </w:footnote>
  <w:footnote w:id="3">
    <w:p w14:paraId="13BF4B5D" w14:textId="50D393D2" w:rsidR="00F2049D" w:rsidRPr="00CE2CA6" w:rsidRDefault="00F2049D">
      <w:pPr>
        <w:pStyle w:val="FootnoteText"/>
        <w:rPr>
          <w:lang w:val="en-US"/>
        </w:rPr>
      </w:pPr>
      <w:r w:rsidRPr="00CE2CA6">
        <w:rPr>
          <w:rStyle w:val="FootnoteReference"/>
        </w:rPr>
        <w:footnoteRef/>
      </w:r>
      <w:r w:rsidRPr="00CE2CA6">
        <w:t xml:space="preserve"> </w:t>
      </w:r>
      <w:r w:rsidRPr="00CE2CA6">
        <w:rPr>
          <w:lang w:val="en-US"/>
        </w:rPr>
        <w:t>National Center for State Courts, Statewide Plans to Resume Court Operations</w:t>
      </w:r>
      <w:r w:rsidR="00CB792D" w:rsidRPr="00CE2CA6">
        <w:rPr>
          <w:lang w:val="en-US"/>
        </w:rPr>
        <w:t xml:space="preserve"> Chart</w:t>
      </w:r>
      <w:r w:rsidRPr="00CE2CA6">
        <w:rPr>
          <w:lang w:val="en-US"/>
        </w:rPr>
        <w:t xml:space="preserve"> (visited </w:t>
      </w:r>
      <w:r w:rsidR="007C035D" w:rsidRPr="00CE2CA6">
        <w:rPr>
          <w:lang w:val="en-US"/>
        </w:rPr>
        <w:t xml:space="preserve">May 4, 2020), available at </w:t>
      </w:r>
      <w:hyperlink r:id="rId2" w:history="1">
        <w:r w:rsidR="003A2AC6" w:rsidRPr="00CE2CA6">
          <w:rPr>
            <w:rStyle w:val="Hyperlink"/>
            <w:lang w:val="en-US"/>
          </w:rPr>
          <w:t>https://www.ncsc.org/</w:t>
        </w:r>
      </w:hyperlink>
      <w:r w:rsidR="003A2AC6" w:rsidRPr="00CE2CA6">
        <w:rPr>
          <w:lang w:val="en-US"/>
        </w:rPr>
        <w:t xml:space="preserve">. Listing and linking to plans from Montana, Wisconsin, </w:t>
      </w:r>
      <w:r w:rsidR="004B70CA" w:rsidRPr="00CE2CA6">
        <w:rPr>
          <w:lang w:val="en-US"/>
        </w:rPr>
        <w:t>Texas, Arkansas, Tennessee, South Carolina, Florida and Pennsylvania.</w:t>
      </w:r>
    </w:p>
  </w:footnote>
  <w:footnote w:id="4">
    <w:p w14:paraId="35A5D03E" w14:textId="0005354B" w:rsidR="000D373C" w:rsidRPr="00CE2CA6" w:rsidRDefault="000D373C">
      <w:pPr>
        <w:pStyle w:val="FootnoteText"/>
        <w:rPr>
          <w:lang w:val="en-US"/>
        </w:rPr>
      </w:pPr>
      <w:r w:rsidRPr="00CE2CA6">
        <w:rPr>
          <w:rStyle w:val="FootnoteReference"/>
        </w:rPr>
        <w:footnoteRef/>
      </w:r>
      <w:r w:rsidRPr="00CE2CA6">
        <w:t xml:space="preserve"> This Resolution does not take a position on whether </w:t>
      </w:r>
      <w:r w:rsidR="003674D3" w:rsidRPr="00CE2CA6">
        <w:t xml:space="preserve">the use of virtual or remote court proceedings are legal or constitutional. For an overview of past rulings on the use of virtual or remote court proceedings in various types of hearings, see </w:t>
      </w:r>
      <w:r w:rsidR="00EC28E4" w:rsidRPr="00CE2CA6">
        <w:t xml:space="preserve">Mike L. Bridenback, </w:t>
      </w:r>
      <w:r w:rsidR="00EC28E4" w:rsidRPr="00CE2CA6">
        <w:rPr>
          <w:i/>
          <w:iCs/>
        </w:rPr>
        <w:t>Study of State Trial Courts Use of Remote Technology</w:t>
      </w:r>
      <w:r w:rsidR="00EC28E4" w:rsidRPr="00CE2CA6">
        <w:t xml:space="preserve">, </w:t>
      </w:r>
      <w:r w:rsidR="00A9627F" w:rsidRPr="00CE2CA6">
        <w:t xml:space="preserve">National Association of Presiding Judges and Court Executive Officers, April 2016, available at </w:t>
      </w:r>
      <w:hyperlink r:id="rId3" w:history="1">
        <w:r w:rsidR="00B22D5E" w:rsidRPr="00CE2CA6">
          <w:rPr>
            <w:rStyle w:val="Hyperlink"/>
          </w:rPr>
          <w:t>http://napco4courtleaders.org/wp-content/uploads/2016/08/Emerging-Court-Technologies-9-27-Bridenback.pdf</w:t>
        </w:r>
      </w:hyperlink>
      <w:r w:rsidR="00B22D5E" w:rsidRPr="00CE2CA6">
        <w:t xml:space="preserve">. The Report notes that </w:t>
      </w:r>
      <w:r w:rsidR="00AE7F26" w:rsidRPr="00CE2CA6">
        <w:t xml:space="preserve">some </w:t>
      </w:r>
      <w:r w:rsidR="005D7A30" w:rsidRPr="00CE2CA6">
        <w:t xml:space="preserve">court have found video and remote court procedures inadequate </w:t>
      </w:r>
      <w:r w:rsidR="00AE7F26" w:rsidRPr="00CE2CA6">
        <w:t xml:space="preserve">for bail proceedings, for </w:t>
      </w:r>
      <w:r w:rsidR="00A24EC3" w:rsidRPr="00CE2CA6">
        <w:t xml:space="preserve">some plea hearings, for </w:t>
      </w:r>
      <w:r w:rsidR="00A548E6" w:rsidRPr="00CE2CA6">
        <w:t>evidentiary hearings and for trials</w:t>
      </w:r>
      <w:r w:rsidR="0093631A" w:rsidRPr="00CE2CA6">
        <w:t>.</w:t>
      </w:r>
      <w:r w:rsidR="00DA717A" w:rsidRPr="00CE2CA6">
        <w:t xml:space="preserve"> </w:t>
      </w:r>
      <w:r w:rsidR="00DA717A" w:rsidRPr="00CE2CA6">
        <w:rPr>
          <w:i/>
          <w:iCs/>
        </w:rPr>
        <w:t xml:space="preserve">Id. </w:t>
      </w:r>
      <w:r w:rsidR="00DA717A" w:rsidRPr="00CE2CA6">
        <w:t xml:space="preserve">at </w:t>
      </w:r>
      <w:r w:rsidR="003A7E71" w:rsidRPr="00CE2CA6">
        <w:t>4-7.</w:t>
      </w:r>
    </w:p>
  </w:footnote>
  <w:footnote w:id="5">
    <w:p w14:paraId="14192EE9" w14:textId="217026D9" w:rsidR="00DA12BB" w:rsidRPr="00CE2CA6" w:rsidRDefault="00DA12BB">
      <w:pPr>
        <w:pStyle w:val="FootnoteText"/>
        <w:rPr>
          <w:lang w:val="en-US"/>
        </w:rPr>
      </w:pPr>
      <w:r w:rsidRPr="00CE2CA6">
        <w:rPr>
          <w:rStyle w:val="FootnoteReference"/>
        </w:rPr>
        <w:footnoteRef/>
      </w:r>
      <w:r w:rsidR="00AA1533" w:rsidRPr="00CE2CA6">
        <w:rPr>
          <w:lang w:val="en-US"/>
        </w:rPr>
        <w:t xml:space="preserve"> Erik De la Garza, </w:t>
      </w:r>
      <w:r w:rsidR="00AA1533" w:rsidRPr="00CE2CA6">
        <w:rPr>
          <w:i/>
          <w:iCs/>
          <w:lang w:val="en-US"/>
        </w:rPr>
        <w:t xml:space="preserve">Texas Courts Zoom Forward with Virtual Hearings, </w:t>
      </w:r>
      <w:r w:rsidR="00AA1533" w:rsidRPr="00CE2CA6">
        <w:rPr>
          <w:lang w:val="en-US"/>
        </w:rPr>
        <w:t>Courthouse News Service (April 24, 2020).</w:t>
      </w:r>
      <w:r w:rsidRPr="00CE2CA6">
        <w:t xml:space="preserve"> </w:t>
      </w:r>
    </w:p>
  </w:footnote>
  <w:footnote w:id="6">
    <w:p w14:paraId="54C97F82" w14:textId="27824D7E" w:rsidR="00414D5A" w:rsidRPr="00CE2CA6" w:rsidRDefault="00414D5A">
      <w:pPr>
        <w:pStyle w:val="FootnoteText"/>
        <w:rPr>
          <w:lang w:val="en-US"/>
        </w:rPr>
      </w:pPr>
      <w:r w:rsidRPr="00CE2CA6">
        <w:rPr>
          <w:rStyle w:val="FootnoteReference"/>
        </w:rPr>
        <w:footnoteRef/>
      </w:r>
      <w:r w:rsidRPr="00CE2CA6">
        <w:t xml:space="preserve"> </w:t>
      </w:r>
      <w:r w:rsidRPr="00CE2CA6">
        <w:rPr>
          <w:lang w:val="en-US"/>
        </w:rPr>
        <w:t xml:space="preserve">See, </w:t>
      </w:r>
      <w:r w:rsidR="00816F3A" w:rsidRPr="00CE2CA6">
        <w:rPr>
          <w:lang w:val="en-US"/>
        </w:rPr>
        <w:t>e.g., Alaska R. Civ</w:t>
      </w:r>
      <w:r w:rsidR="00E55A78" w:rsidRPr="00CE2CA6">
        <w:rPr>
          <w:lang w:val="en-US"/>
        </w:rPr>
        <w:t>. P 99 – Telephonic Participation in Civil Cases</w:t>
      </w:r>
      <w:r w:rsidR="00B05FE6" w:rsidRPr="00CE2CA6">
        <w:rPr>
          <w:lang w:val="en-US"/>
        </w:rPr>
        <w:t xml:space="preserve">, available at </w:t>
      </w:r>
      <w:hyperlink r:id="rId4" w:history="1">
        <w:r w:rsidR="00B05FE6" w:rsidRPr="00CE2CA6">
          <w:rPr>
            <w:rStyle w:val="Hyperlink"/>
            <w:lang w:val="en-US"/>
          </w:rPr>
          <w:t>https://casetext.com/rule/alaska-court-rules/alaska-rules-of-civil-procedure/part-xiii-general-provisions/rule-99-telephonic-participation-in-civil-cases</w:t>
        </w:r>
      </w:hyperlink>
      <w:r w:rsidR="00B05FE6" w:rsidRPr="00CE2CA6">
        <w:rPr>
          <w:lang w:val="en-US"/>
        </w:rPr>
        <w:t>. (“The court may allow one or more parties, counsel, witnesses or the judge to participate telephonically in any hearing or deposition for good cause and in the absence of substantial prejudice to opposing parties.</w:t>
      </w:r>
      <w:r w:rsidR="00CA2F7B" w:rsidRPr="00CE2CA6">
        <w:rPr>
          <w:lang w:val="en-US"/>
        </w:rPr>
        <w:t xml:space="preserve">”). See also, </w:t>
      </w:r>
      <w:r w:rsidRPr="00CE2CA6">
        <w:rPr>
          <w:lang w:val="en-US"/>
        </w:rPr>
        <w:t xml:space="preserve">Alaska Superior Court, Form on Telephonic Appearance, available at </w:t>
      </w:r>
      <w:r w:rsidR="007C4A9E" w:rsidRPr="00CE2CA6">
        <w:rPr>
          <w:lang w:val="en-US"/>
        </w:rPr>
        <w:t>https://public.courts.alaska.gov/web/forms/docs/tf-710.pdf.</w:t>
      </w:r>
    </w:p>
  </w:footnote>
  <w:footnote w:id="7">
    <w:p w14:paraId="7CD7BD37" w14:textId="77777777" w:rsidR="007A78BC" w:rsidRPr="00CE2CA6" w:rsidRDefault="007A78BC" w:rsidP="007A78BC">
      <w:pPr>
        <w:pStyle w:val="FootnoteText"/>
        <w:rPr>
          <w:lang w:val="en-US"/>
        </w:rPr>
      </w:pPr>
      <w:r w:rsidRPr="00CE2CA6">
        <w:rPr>
          <w:rStyle w:val="FootnoteReference"/>
        </w:rPr>
        <w:footnoteRef/>
      </w:r>
      <w:r w:rsidRPr="00CE2CA6">
        <w:t xml:space="preserve"> </w:t>
      </w:r>
      <w:r w:rsidRPr="00CE2CA6">
        <w:rPr>
          <w:lang w:val="en-US"/>
        </w:rPr>
        <w:t xml:space="preserve">Self-Represented Litigant Network Brief, </w:t>
      </w:r>
      <w:r w:rsidRPr="00CE2CA6">
        <w:rPr>
          <w:i/>
          <w:iCs/>
          <w:lang w:val="en-US"/>
        </w:rPr>
        <w:t>How many SRL’s? (SRLN 2019)</w:t>
      </w:r>
      <w:r w:rsidRPr="00CE2CA6">
        <w:rPr>
          <w:lang w:val="en-US"/>
        </w:rPr>
        <w:t xml:space="preserve">, available at </w:t>
      </w:r>
      <w:hyperlink r:id="rId5" w:history="1">
        <w:r w:rsidRPr="00CE2CA6">
          <w:rPr>
            <w:rStyle w:val="Hyperlink"/>
            <w:lang w:val="en-US"/>
          </w:rPr>
          <w:t>https://www.srln.org/node/548/srln-brief-how-many-srls-srln-2019</w:t>
        </w:r>
      </w:hyperlink>
      <w:r w:rsidRPr="00CE2CA6">
        <w:rPr>
          <w:lang w:val="en-US"/>
        </w:rPr>
        <w:t xml:space="preserve">.  It is noteworthy that the vast majority of the litigants who </w:t>
      </w:r>
      <w:r w:rsidRPr="00CE2CA6">
        <w:t>receive help from legal aid are self-represented, with approximately 95% of the cases handled by LSC grantees closing with brief service or advice and counsel.</w:t>
      </w:r>
    </w:p>
  </w:footnote>
  <w:footnote w:id="8">
    <w:p w14:paraId="479881C2" w14:textId="6ACCD6B8" w:rsidR="00332A11" w:rsidRPr="00CE2CA6" w:rsidRDefault="00332A11">
      <w:pPr>
        <w:pStyle w:val="FootnoteText"/>
        <w:rPr>
          <w:lang w:val="en-US"/>
        </w:rPr>
      </w:pPr>
      <w:r w:rsidRPr="00CE2CA6">
        <w:rPr>
          <w:rStyle w:val="FootnoteReference"/>
        </w:rPr>
        <w:footnoteRef/>
      </w:r>
      <w:r w:rsidRPr="00CE2CA6">
        <w:t xml:space="preserve"> </w:t>
      </w:r>
      <w:r w:rsidR="003A1228" w:rsidRPr="00CE2CA6">
        <w:t xml:space="preserve">Caroline Wolf Harlow, </w:t>
      </w:r>
      <w:r w:rsidR="003A1228" w:rsidRPr="00CE2CA6">
        <w:rPr>
          <w:i/>
          <w:iCs/>
        </w:rPr>
        <w:t>Defense Counsel in Criminal Cases</w:t>
      </w:r>
      <w:r w:rsidR="00DF06D2" w:rsidRPr="00CE2CA6">
        <w:t xml:space="preserve">, </w:t>
      </w:r>
      <w:r w:rsidR="00A15704" w:rsidRPr="00CE2CA6">
        <w:t xml:space="preserve">November 2000, available at </w:t>
      </w:r>
      <w:hyperlink r:id="rId6" w:history="1">
        <w:r w:rsidR="00A15704" w:rsidRPr="00CE2CA6">
          <w:rPr>
            <w:rStyle w:val="Hyperlink"/>
          </w:rPr>
          <w:t>https://www.bjs.gov/content/pub/pdf/dccc.pdf</w:t>
        </w:r>
      </w:hyperlink>
      <w:r w:rsidR="00A15704" w:rsidRPr="00CE2CA6">
        <w:t xml:space="preserve"> (“</w:t>
      </w:r>
      <w:r w:rsidR="00E92C5F" w:rsidRPr="00CE2CA6">
        <w:t>At felony case termination, court-appointed counsel represented 82% of State defendants in the 75 largest counties.”).</w:t>
      </w:r>
    </w:p>
  </w:footnote>
  <w:footnote w:id="9">
    <w:p w14:paraId="672755A5" w14:textId="1260E2E5" w:rsidR="00F33E27" w:rsidRPr="00CE2CA6" w:rsidRDefault="00F33E27">
      <w:pPr>
        <w:pStyle w:val="FootnoteText"/>
        <w:rPr>
          <w:lang w:val="en-US"/>
        </w:rPr>
      </w:pPr>
      <w:r w:rsidRPr="00CE2CA6">
        <w:rPr>
          <w:rStyle w:val="FootnoteReference"/>
        </w:rPr>
        <w:footnoteRef/>
      </w:r>
      <w:r w:rsidRPr="00CE2CA6">
        <w:t xml:space="preserve"> </w:t>
      </w:r>
      <w:r w:rsidRPr="00CE2CA6">
        <w:rPr>
          <w:lang w:val="en-US"/>
        </w:rPr>
        <w:t xml:space="preserve">Cell phone use is widespread. </w:t>
      </w:r>
      <w:r w:rsidR="007B2F81" w:rsidRPr="00CE2CA6">
        <w:rPr>
          <w:lang w:val="en-US"/>
        </w:rPr>
        <w:t>According to a Pew Study, 96% of adults use a cell phone</w:t>
      </w:r>
      <w:r w:rsidR="00682BEF" w:rsidRPr="00CE2CA6">
        <w:rPr>
          <w:lang w:val="en-US"/>
        </w:rPr>
        <w:t xml:space="preserve"> and 81% of use a smartphone. For a substantial number (</w:t>
      </w:r>
      <w:r w:rsidR="00CD0718" w:rsidRPr="00CE2CA6">
        <w:rPr>
          <w:lang w:val="en-US"/>
        </w:rPr>
        <w:t xml:space="preserve">37%), the smartphone is their primary way of accessing the internet. </w:t>
      </w:r>
      <w:r w:rsidR="007B2F81" w:rsidRPr="00CE2CA6">
        <w:rPr>
          <w:lang w:val="en-US"/>
        </w:rPr>
        <w:t xml:space="preserve">Mobile </w:t>
      </w:r>
      <w:r w:rsidR="00DF2985" w:rsidRPr="00CE2CA6">
        <w:rPr>
          <w:lang w:val="en-US"/>
        </w:rPr>
        <w:t>Technology and Home Broadband,</w:t>
      </w:r>
      <w:r w:rsidR="007B2F81" w:rsidRPr="00CE2CA6">
        <w:rPr>
          <w:lang w:val="en-US"/>
        </w:rPr>
        <w:t xml:space="preserve"> Pew Research, </w:t>
      </w:r>
      <w:r w:rsidR="00DF2985" w:rsidRPr="00CE2CA6">
        <w:rPr>
          <w:lang w:val="en-US"/>
        </w:rPr>
        <w:t xml:space="preserve">June 13, 2019, </w:t>
      </w:r>
      <w:r w:rsidR="007B2F81" w:rsidRPr="00CE2CA6">
        <w:rPr>
          <w:lang w:val="en-US"/>
        </w:rPr>
        <w:t xml:space="preserve">available at </w:t>
      </w:r>
      <w:hyperlink r:id="rId7" w:history="1">
        <w:r w:rsidR="00682BEF" w:rsidRPr="00CE2CA6">
          <w:rPr>
            <w:rStyle w:val="Hyperlink"/>
            <w:lang w:val="en-US"/>
          </w:rPr>
          <w:t>https://www.pewresearch.org/internet/2019/06/13/mobile-technology-and-home-broadband-2019/</w:t>
        </w:r>
      </w:hyperlink>
      <w:r w:rsidR="00682BEF" w:rsidRPr="00CE2CA6">
        <w:rPr>
          <w:lang w:val="en-US"/>
        </w:rPr>
        <w:t xml:space="preserve">. </w:t>
      </w:r>
    </w:p>
  </w:footnote>
  <w:footnote w:id="10">
    <w:p w14:paraId="2E474374" w14:textId="32C686C9" w:rsidR="007D75E2" w:rsidRPr="00CE2CA6" w:rsidRDefault="007D75E2" w:rsidP="007D75E2">
      <w:pPr>
        <w:pStyle w:val="FootnoteText"/>
        <w:rPr>
          <w:lang w:val="en-US"/>
        </w:rPr>
      </w:pPr>
      <w:r w:rsidRPr="00CE2CA6">
        <w:rPr>
          <w:rStyle w:val="FootnoteReference"/>
        </w:rPr>
        <w:footnoteRef/>
      </w:r>
      <w:r w:rsidRPr="00CE2CA6">
        <w:t xml:space="preserve"> </w:t>
      </w:r>
      <w:r w:rsidRPr="00CE2CA6">
        <w:rPr>
          <w:lang w:val="en-US"/>
        </w:rPr>
        <w:t xml:space="preserve">Use of prepaid cell phones is very common. In 2013, about 1 in 3 cell phone users used a prepaid cell phone. See Marc Lifsher, </w:t>
      </w:r>
      <w:r w:rsidRPr="00CE2CA6">
        <w:rPr>
          <w:i/>
          <w:iCs/>
          <w:lang w:val="en-US"/>
        </w:rPr>
        <w:t>More Cellphone Users Switch to Prepaid Plans</w:t>
      </w:r>
      <w:r w:rsidRPr="00CE2CA6">
        <w:rPr>
          <w:lang w:val="en-US"/>
        </w:rPr>
        <w:t xml:space="preserve">, PHYS, Feb. 22, 2013, available at </w:t>
      </w:r>
      <w:hyperlink r:id="rId8" w:history="1">
        <w:r w:rsidRPr="00CE2CA6">
          <w:rPr>
            <w:rStyle w:val="Hyperlink"/>
            <w:lang w:val="en-US"/>
          </w:rPr>
          <w:t>https://phys.org/news/2013-02-cellphone-users-prepaid.html</w:t>
        </w:r>
      </w:hyperlink>
      <w:r w:rsidRPr="00CE2CA6">
        <w:rPr>
          <w:lang w:val="en-US"/>
        </w:rPr>
        <w:t xml:space="preserve">. </w:t>
      </w:r>
      <w:r w:rsidR="00CF64D1" w:rsidRPr="00CE2CA6">
        <w:rPr>
          <w:lang w:val="en-US"/>
        </w:rPr>
        <w:t xml:space="preserve">See also Bruce Wilkinson, </w:t>
      </w:r>
      <w:r w:rsidR="00CF64D1" w:rsidRPr="00CE2CA6">
        <w:rPr>
          <w:i/>
          <w:iCs/>
          <w:lang w:val="en-US"/>
        </w:rPr>
        <w:t>What’s Driving the Growth of Pre-Paid Cell Phones</w:t>
      </w:r>
      <w:r w:rsidR="00CF64D1" w:rsidRPr="00CE2CA6">
        <w:rPr>
          <w:lang w:val="en-US"/>
        </w:rPr>
        <w:t xml:space="preserve">, Nielsen, April 30, 2010, available at </w:t>
      </w:r>
      <w:hyperlink r:id="rId9" w:history="1">
        <w:r w:rsidR="003F1A28" w:rsidRPr="00CE2CA6">
          <w:rPr>
            <w:rStyle w:val="Hyperlink"/>
            <w:lang w:val="en-US"/>
          </w:rPr>
          <w:t>https://www.nielsen.com/us/en/insights/article/2010/whats-driving-the-growth-of-pre-paid-cell-phones/</w:t>
        </w:r>
      </w:hyperlink>
      <w:r w:rsidR="003F1A28" w:rsidRPr="00CE2CA6">
        <w:rPr>
          <w:lang w:val="en-US"/>
        </w:rPr>
        <w:t xml:space="preserve">. </w:t>
      </w:r>
    </w:p>
  </w:footnote>
  <w:footnote w:id="11">
    <w:p w14:paraId="0BCEE3F3" w14:textId="7749B804" w:rsidR="00F0599A" w:rsidRPr="00CE2CA6" w:rsidRDefault="00F0599A">
      <w:pPr>
        <w:pStyle w:val="FootnoteText"/>
        <w:rPr>
          <w:lang w:val="en-US"/>
        </w:rPr>
      </w:pPr>
      <w:r w:rsidRPr="00CE2CA6">
        <w:rPr>
          <w:rStyle w:val="FootnoteReference"/>
        </w:rPr>
        <w:footnoteRef/>
      </w:r>
      <w:r w:rsidRPr="00CE2CA6">
        <w:t xml:space="preserve"> </w:t>
      </w:r>
      <w:r w:rsidR="00737712" w:rsidRPr="00CE2CA6">
        <w:t xml:space="preserve">Monica Anderson, et. al., </w:t>
      </w:r>
      <w:r w:rsidR="00737712" w:rsidRPr="00CE2CA6">
        <w:rPr>
          <w:i/>
          <w:iCs/>
        </w:rPr>
        <w:t>10% of Americans don’t use the internet. Who are they?</w:t>
      </w:r>
      <w:r w:rsidR="00297410" w:rsidRPr="00CE2CA6">
        <w:t>, April 22, 2019, available at https://www.pewresearch.org/fact-tank/2019/04/22/some-americans-dont-use-the-internet-who-are-they/.</w:t>
      </w:r>
    </w:p>
  </w:footnote>
  <w:footnote w:id="12">
    <w:p w14:paraId="6D4B0550" w14:textId="7137BE73" w:rsidR="00C76F4D" w:rsidRPr="00CE2CA6" w:rsidRDefault="00C76F4D">
      <w:pPr>
        <w:pStyle w:val="FootnoteText"/>
        <w:rPr>
          <w:i/>
          <w:iCs/>
          <w:lang w:val="en-US"/>
        </w:rPr>
      </w:pPr>
      <w:r w:rsidRPr="00CE2CA6">
        <w:rPr>
          <w:rStyle w:val="FootnoteReference"/>
        </w:rPr>
        <w:footnoteRef/>
      </w:r>
      <w:r w:rsidRPr="00CE2CA6">
        <w:t xml:space="preserve"> </w:t>
      </w:r>
      <w:r w:rsidRPr="00CE2CA6">
        <w:rPr>
          <w:i/>
          <w:iCs/>
          <w:lang w:val="en-US"/>
        </w:rPr>
        <w:t>Id.</w:t>
      </w:r>
    </w:p>
  </w:footnote>
  <w:footnote w:id="13">
    <w:p w14:paraId="3BE97ABF" w14:textId="671103DB" w:rsidR="00C76F4D" w:rsidRPr="00CE2CA6" w:rsidRDefault="00C76F4D">
      <w:pPr>
        <w:pStyle w:val="FootnoteText"/>
        <w:rPr>
          <w:i/>
          <w:iCs/>
          <w:lang w:val="en-US"/>
        </w:rPr>
      </w:pPr>
      <w:r w:rsidRPr="00CE2CA6">
        <w:rPr>
          <w:rStyle w:val="FootnoteReference"/>
        </w:rPr>
        <w:footnoteRef/>
      </w:r>
      <w:r w:rsidRPr="00CE2CA6">
        <w:t xml:space="preserve"> </w:t>
      </w:r>
      <w:r w:rsidRPr="00CE2CA6">
        <w:rPr>
          <w:i/>
          <w:iCs/>
          <w:lang w:val="en-US"/>
        </w:rPr>
        <w:t>Id.</w:t>
      </w:r>
    </w:p>
  </w:footnote>
  <w:footnote w:id="14">
    <w:p w14:paraId="6D395C9D" w14:textId="03CC358D" w:rsidR="001941C7" w:rsidRPr="00CE2CA6" w:rsidRDefault="001941C7">
      <w:pPr>
        <w:pStyle w:val="FootnoteText"/>
        <w:rPr>
          <w:lang w:val="en-US"/>
        </w:rPr>
      </w:pPr>
      <w:r w:rsidRPr="00CE2CA6">
        <w:rPr>
          <w:rStyle w:val="FootnoteReference"/>
        </w:rPr>
        <w:footnoteRef/>
      </w:r>
      <w:r w:rsidRPr="00CE2CA6">
        <w:t xml:space="preserve"> </w:t>
      </w:r>
      <w:r w:rsidR="009A0D83" w:rsidRPr="00CE2CA6">
        <w:rPr>
          <w:lang w:val="en-US"/>
        </w:rPr>
        <w:t xml:space="preserve">Monica Anderson, </w:t>
      </w:r>
      <w:r w:rsidR="009A0D83" w:rsidRPr="00CE2CA6">
        <w:rPr>
          <w:i/>
          <w:iCs/>
          <w:lang w:val="en-US"/>
        </w:rPr>
        <w:t>About a quarter of rural Americans say access to high-speed internet is a major problem</w:t>
      </w:r>
      <w:r w:rsidR="009A0D83" w:rsidRPr="00CE2CA6">
        <w:rPr>
          <w:lang w:val="en-US"/>
        </w:rPr>
        <w:t xml:space="preserve">, Sept 10 2018, available at </w:t>
      </w:r>
      <w:hyperlink r:id="rId10" w:history="1">
        <w:r w:rsidR="004C2489" w:rsidRPr="00CE2CA6">
          <w:rPr>
            <w:rStyle w:val="Hyperlink"/>
            <w:lang w:val="en-US"/>
          </w:rPr>
          <w:t>https://www.pewresearch.org/fact-tank/2018/09/10/about-a-quarter-of-rural-americans-say-access-to-high-speed-internet-is-a-major-problem/</w:t>
        </w:r>
      </w:hyperlink>
      <w:r w:rsidR="009A0D83" w:rsidRPr="00CE2CA6">
        <w:rPr>
          <w:lang w:val="en-US"/>
        </w:rPr>
        <w:t>.</w:t>
      </w:r>
      <w:r w:rsidR="004C2489" w:rsidRPr="00CE2CA6">
        <w:rPr>
          <w:lang w:val="en-US"/>
        </w:rPr>
        <w:t xml:space="preserve"> </w:t>
      </w:r>
    </w:p>
  </w:footnote>
  <w:footnote w:id="15">
    <w:p w14:paraId="15569389" w14:textId="56352DFF" w:rsidR="007D7452" w:rsidRPr="00CE2CA6" w:rsidRDefault="007D7452">
      <w:pPr>
        <w:pStyle w:val="FootnoteText"/>
        <w:rPr>
          <w:i/>
          <w:lang w:val="en-US"/>
        </w:rPr>
      </w:pPr>
      <w:r w:rsidRPr="00CE2CA6">
        <w:rPr>
          <w:rStyle w:val="FootnoteReference"/>
        </w:rPr>
        <w:footnoteRef/>
      </w:r>
      <w:r w:rsidRPr="00CE2CA6">
        <w:t xml:space="preserve"> </w:t>
      </w:r>
      <w:r w:rsidRPr="00CE2CA6">
        <w:rPr>
          <w:i/>
          <w:lang w:val="en-US"/>
        </w:rPr>
        <w:t>Id.</w:t>
      </w:r>
    </w:p>
  </w:footnote>
  <w:footnote w:id="16">
    <w:p w14:paraId="75BD95FE" w14:textId="03391A2E" w:rsidR="00BB7F22" w:rsidRPr="00CE2CA6" w:rsidRDefault="00BB7F22">
      <w:pPr>
        <w:pStyle w:val="FootnoteText"/>
        <w:rPr>
          <w:lang w:val="en-US"/>
        </w:rPr>
      </w:pPr>
      <w:r w:rsidRPr="00CE2CA6">
        <w:rPr>
          <w:rStyle w:val="FootnoteReference"/>
        </w:rPr>
        <w:footnoteRef/>
      </w:r>
      <w:r w:rsidRPr="00CE2CA6">
        <w:t xml:space="preserve"> </w:t>
      </w:r>
      <w:r w:rsidR="00B67EE4" w:rsidRPr="00CE2CA6">
        <w:t xml:space="preserve">Pew Research, </w:t>
      </w:r>
      <w:r w:rsidR="0068578C" w:rsidRPr="00CE2CA6">
        <w:rPr>
          <w:lang w:val="en-US"/>
        </w:rPr>
        <w:t>Internet</w:t>
      </w:r>
      <w:r w:rsidR="00B67EE4" w:rsidRPr="00CE2CA6">
        <w:rPr>
          <w:lang w:val="en-US"/>
        </w:rPr>
        <w:t xml:space="preserve">/Broadband Face Sheet, June 12, 2019, available at </w:t>
      </w:r>
      <w:hyperlink r:id="rId11" w:history="1">
        <w:r w:rsidR="00742AD9" w:rsidRPr="00CE2CA6">
          <w:rPr>
            <w:rStyle w:val="Hyperlink"/>
            <w:lang w:val="en-US"/>
          </w:rPr>
          <w:t>https://www.pewresearch.org/internet/fact-sheet/internet-broadband/</w:t>
        </w:r>
      </w:hyperlink>
      <w:r w:rsidR="00742AD9" w:rsidRPr="00CE2CA6">
        <w:rPr>
          <w:lang w:val="en-US"/>
        </w:rPr>
        <w:t xml:space="preserve">. </w:t>
      </w:r>
    </w:p>
  </w:footnote>
  <w:footnote w:id="17">
    <w:p w14:paraId="76E1B359" w14:textId="51050FA9" w:rsidR="00AD3C4B" w:rsidRPr="00CE2CA6" w:rsidRDefault="00AD3C4B" w:rsidP="00EF2994">
      <w:pPr>
        <w:rPr>
          <w:rFonts w:ascii="Arial" w:hAnsi="Arial" w:cs="Arial"/>
          <w:sz w:val="20"/>
          <w:szCs w:val="20"/>
        </w:rPr>
      </w:pPr>
      <w:r w:rsidRPr="00CE2CA6">
        <w:rPr>
          <w:rStyle w:val="FootnoteReference"/>
          <w:rFonts w:ascii="Arial" w:hAnsi="Arial" w:cs="Arial"/>
          <w:sz w:val="20"/>
          <w:szCs w:val="20"/>
        </w:rPr>
        <w:footnoteRef/>
      </w:r>
      <w:r w:rsidRPr="00CE2CA6">
        <w:rPr>
          <w:rFonts w:ascii="Arial" w:hAnsi="Arial" w:cs="Arial"/>
          <w:sz w:val="20"/>
          <w:szCs w:val="20"/>
        </w:rPr>
        <w:t xml:space="preserve"> It is noteworthy that </w:t>
      </w:r>
      <w:r w:rsidR="008310D4" w:rsidRPr="00CE2CA6">
        <w:rPr>
          <w:rFonts w:ascii="Arial" w:hAnsi="Arial" w:cs="Arial"/>
          <w:sz w:val="20"/>
          <w:szCs w:val="20"/>
        </w:rPr>
        <w:t xml:space="preserve">in almost every Best Practices list for conducting online meetings or events, the list notes that lighting and background are critical to how you are perceived. </w:t>
      </w:r>
      <w:r w:rsidR="009C1FAC" w:rsidRPr="00CE2CA6">
        <w:rPr>
          <w:rFonts w:ascii="Arial" w:hAnsi="Arial" w:cs="Arial"/>
          <w:sz w:val="20"/>
          <w:szCs w:val="20"/>
        </w:rPr>
        <w:t xml:space="preserve">See, e.g. </w:t>
      </w:r>
      <w:r w:rsidR="00E1389A" w:rsidRPr="00CE2CA6">
        <w:rPr>
          <w:rFonts w:ascii="Arial" w:hAnsi="Arial" w:cs="Arial"/>
          <w:sz w:val="20"/>
          <w:szCs w:val="20"/>
        </w:rPr>
        <w:t xml:space="preserve">Career Partners International, </w:t>
      </w:r>
      <w:r w:rsidR="009C1FAC" w:rsidRPr="00CE2CA6">
        <w:rPr>
          <w:rFonts w:ascii="Arial" w:hAnsi="Arial" w:cs="Arial"/>
          <w:i/>
          <w:iCs/>
          <w:sz w:val="20"/>
          <w:szCs w:val="20"/>
        </w:rPr>
        <w:t>6 Best Practices for Virtual Meetings</w:t>
      </w:r>
      <w:r w:rsidR="009C1FAC" w:rsidRPr="00CE2CA6">
        <w:rPr>
          <w:rFonts w:ascii="Arial" w:hAnsi="Arial" w:cs="Arial"/>
          <w:sz w:val="20"/>
          <w:szCs w:val="20"/>
        </w:rPr>
        <w:t xml:space="preserve">, </w:t>
      </w:r>
      <w:r w:rsidR="00E1389A" w:rsidRPr="00CE2CA6">
        <w:rPr>
          <w:rFonts w:ascii="Arial" w:hAnsi="Arial" w:cs="Arial"/>
          <w:sz w:val="20"/>
          <w:szCs w:val="20"/>
        </w:rPr>
        <w:t xml:space="preserve">March 27, 2020, available at </w:t>
      </w:r>
      <w:hyperlink r:id="rId12" w:history="1">
        <w:r w:rsidR="00E1389A" w:rsidRPr="00CE2CA6">
          <w:rPr>
            <w:rStyle w:val="Hyperlink"/>
            <w:rFonts w:ascii="Arial" w:hAnsi="Arial" w:cs="Arial"/>
            <w:sz w:val="20"/>
            <w:szCs w:val="20"/>
          </w:rPr>
          <w:t>https://www.cpiworld.com/6-best-practices-virtual-meetings/</w:t>
        </w:r>
      </w:hyperlink>
      <w:r w:rsidR="00E1389A" w:rsidRPr="00CE2CA6">
        <w:rPr>
          <w:rFonts w:ascii="Arial" w:hAnsi="Arial" w:cs="Arial"/>
          <w:sz w:val="20"/>
          <w:szCs w:val="20"/>
        </w:rPr>
        <w:t xml:space="preserve"> (noting that </w:t>
      </w:r>
      <w:r w:rsidR="007A1ECB" w:rsidRPr="00CE2CA6">
        <w:rPr>
          <w:rFonts w:ascii="Arial" w:hAnsi="Arial" w:cs="Arial"/>
          <w:sz w:val="20"/>
          <w:szCs w:val="20"/>
        </w:rPr>
        <w:t>“what’s behind you really matters</w:t>
      </w:r>
      <w:r w:rsidR="00061F29" w:rsidRPr="00CE2CA6">
        <w:rPr>
          <w:rFonts w:ascii="Arial" w:hAnsi="Arial" w:cs="Arial"/>
          <w:sz w:val="20"/>
          <w:szCs w:val="20"/>
        </w:rPr>
        <w:t>,” as do lighting, camera angle and distracting noises).</w:t>
      </w:r>
      <w:r w:rsidR="002E6B46" w:rsidRPr="00CE2CA6">
        <w:rPr>
          <w:rFonts w:ascii="Arial" w:hAnsi="Arial" w:cs="Arial"/>
          <w:sz w:val="20"/>
          <w:szCs w:val="20"/>
        </w:rPr>
        <w:t xml:space="preserve">  </w:t>
      </w:r>
      <w:r w:rsidR="00D6659F" w:rsidRPr="00CE2CA6">
        <w:rPr>
          <w:rFonts w:ascii="Arial" w:hAnsi="Arial" w:cs="Arial"/>
          <w:sz w:val="20"/>
          <w:szCs w:val="20"/>
        </w:rPr>
        <w:t>The Texas Courts COVID page provides Best Practice recommendations for judges</w:t>
      </w:r>
      <w:r w:rsidR="00063067" w:rsidRPr="00CE2CA6">
        <w:rPr>
          <w:rFonts w:ascii="Arial" w:hAnsi="Arial" w:cs="Arial"/>
          <w:sz w:val="20"/>
          <w:szCs w:val="20"/>
        </w:rPr>
        <w:t xml:space="preserve">. Some of the tips include: “Position the camera at your eye level or slightly above eye level; Be mindful of what is behind you, choose a solid neutral wall if possible - or use our </w:t>
      </w:r>
      <w:hyperlink r:id="rId13" w:history="1">
        <w:r w:rsidR="00063067" w:rsidRPr="00CE2CA6">
          <w:rPr>
            <w:rStyle w:val="Hyperlink"/>
            <w:rFonts w:ascii="Arial" w:hAnsi="Arial" w:cs="Arial"/>
            <w:sz w:val="20"/>
            <w:szCs w:val="20"/>
          </w:rPr>
          <w:t>Judicial Virtual Background</w:t>
        </w:r>
      </w:hyperlink>
      <w:r w:rsidR="00EF2994" w:rsidRPr="00CE2CA6">
        <w:rPr>
          <w:rFonts w:ascii="Arial" w:hAnsi="Arial" w:cs="Arial"/>
          <w:sz w:val="20"/>
          <w:szCs w:val="20"/>
        </w:rPr>
        <w:t xml:space="preserve">; </w:t>
      </w:r>
      <w:r w:rsidR="00063067" w:rsidRPr="00CE2CA6">
        <w:rPr>
          <w:rFonts w:ascii="Arial" w:hAnsi="Arial" w:cs="Arial"/>
          <w:sz w:val="20"/>
          <w:szCs w:val="20"/>
        </w:rPr>
        <w:t>Check the lighting. Light from a window behind you might blind the camera, making you look dark. Light above you in the center of a room might also cast shadows. Ideally, position a lamp, or sit facing a window, where light is directly on your face. Also be aware that your monitor casts light that can make you look blue.</w:t>
      </w:r>
      <w:r w:rsidR="00EF2994" w:rsidRPr="00CE2CA6">
        <w:rPr>
          <w:rFonts w:ascii="Arial" w:hAnsi="Arial" w:cs="Arial"/>
          <w:sz w:val="20"/>
          <w:szCs w:val="20"/>
        </w:rPr>
        <w:t>”</w:t>
      </w:r>
      <w:r w:rsidR="005E4DC2" w:rsidRPr="00CE2CA6">
        <w:rPr>
          <w:rFonts w:ascii="Arial" w:hAnsi="Arial" w:cs="Arial"/>
          <w:sz w:val="20"/>
          <w:szCs w:val="20"/>
        </w:rPr>
        <w:t xml:space="preserve"> See </w:t>
      </w:r>
      <w:r w:rsidR="009E1150" w:rsidRPr="00CE2CA6">
        <w:rPr>
          <w:rFonts w:ascii="Arial" w:hAnsi="Arial" w:cs="Arial"/>
          <w:sz w:val="20"/>
          <w:szCs w:val="20"/>
        </w:rPr>
        <w:t xml:space="preserve">Texas Judicial Branch, Tips for Successful Hearing, available at </w:t>
      </w:r>
      <w:hyperlink r:id="rId14" w:history="1">
        <w:r w:rsidR="008A08A4" w:rsidRPr="00CE2CA6">
          <w:rPr>
            <w:rStyle w:val="Hyperlink"/>
            <w:rFonts w:ascii="Arial" w:hAnsi="Arial" w:cs="Arial"/>
            <w:sz w:val="20"/>
            <w:szCs w:val="20"/>
          </w:rPr>
          <w:t>https://www.txcourts.gov/programs-services/electronic-hearings-with-zoom/</w:t>
        </w:r>
      </w:hyperlink>
      <w:r w:rsidR="008A08A4" w:rsidRPr="00CE2CA6">
        <w:rPr>
          <w:rFonts w:ascii="Arial" w:hAnsi="Arial" w:cs="Arial"/>
          <w:sz w:val="20"/>
          <w:szCs w:val="20"/>
        </w:rPr>
        <w:t xml:space="preserve">. </w:t>
      </w:r>
    </w:p>
  </w:footnote>
  <w:footnote w:id="18">
    <w:p w14:paraId="2EBBCC41" w14:textId="5EE700ED" w:rsidR="00386717" w:rsidRPr="00CE2CA6" w:rsidRDefault="00386717">
      <w:pPr>
        <w:pStyle w:val="FootnoteText"/>
        <w:rPr>
          <w:lang w:val="en-US"/>
        </w:rPr>
      </w:pPr>
      <w:r w:rsidRPr="00CE2CA6">
        <w:rPr>
          <w:rStyle w:val="FootnoteReference"/>
        </w:rPr>
        <w:footnoteRef/>
      </w:r>
      <w:r w:rsidRPr="00CE2CA6">
        <w:t xml:space="preserve"> </w:t>
      </w:r>
      <w:r w:rsidRPr="00CE2CA6">
        <w:rPr>
          <w:lang w:val="en-US"/>
        </w:rPr>
        <w:t>The Texas Access to Justice Commission created a primer for judges on</w:t>
      </w:r>
      <w:r w:rsidR="005428AF" w:rsidRPr="00CE2CA6">
        <w:rPr>
          <w:lang w:val="en-US"/>
        </w:rPr>
        <w:t xml:space="preserve"> best practices for conducting Zoom hearings with </w:t>
      </w:r>
      <w:r w:rsidRPr="00CE2CA6">
        <w:rPr>
          <w:lang w:val="en-US"/>
        </w:rPr>
        <w:t>self-represented litigants</w:t>
      </w:r>
      <w:r w:rsidR="005428AF" w:rsidRPr="00CE2CA6">
        <w:rPr>
          <w:lang w:val="en-US"/>
        </w:rPr>
        <w:t>.  After noting that some self-represented litigants use phone plans and may have limited minutes that preclude even telephone participation in Zoom hearings, the document candidly admits, “</w:t>
      </w:r>
      <w:r w:rsidR="00873C14" w:rsidRPr="00CE2CA6">
        <w:rPr>
          <w:lang w:val="en-US"/>
        </w:rPr>
        <w:t xml:space="preserve">We do not have a solution for this problem, and welcome your ideas.” See Texas Access to Justice Commission, Best Practices for Courts in Zoom Hearings Involving Self Represented Litigants, available at </w:t>
      </w:r>
      <w:hyperlink r:id="rId15" w:history="1">
        <w:r w:rsidR="004B3893" w:rsidRPr="00CE2CA6">
          <w:rPr>
            <w:rStyle w:val="Hyperlink"/>
            <w:lang w:val="en-US"/>
          </w:rPr>
          <w:t>https://www.txcourts.gov/media/1446335/zoomsrlbestpractices.pdf</w:t>
        </w:r>
      </w:hyperlink>
      <w:r w:rsidR="004B3893" w:rsidRPr="00CE2CA6">
        <w:rPr>
          <w:lang w:val="en-US"/>
        </w:rPr>
        <w:t xml:space="preserve">. </w:t>
      </w:r>
    </w:p>
  </w:footnote>
  <w:footnote w:id="19">
    <w:p w14:paraId="0A46E1DB" w14:textId="41B7D4B2" w:rsidR="00E56C84" w:rsidRPr="00CE2CA6" w:rsidRDefault="00E56C84">
      <w:pPr>
        <w:pStyle w:val="FootnoteText"/>
        <w:rPr>
          <w:lang w:val="en-US"/>
        </w:rPr>
      </w:pPr>
      <w:r w:rsidRPr="00CE2CA6">
        <w:rPr>
          <w:rStyle w:val="FootnoteReference"/>
        </w:rPr>
        <w:footnoteRef/>
      </w:r>
      <w:r w:rsidRPr="00CE2CA6">
        <w:t xml:space="preserve"> </w:t>
      </w:r>
      <w:r w:rsidR="00CD3309" w:rsidRPr="00CE2CA6">
        <w:t>See, e.g., Fed. R. C</w:t>
      </w:r>
      <w:r w:rsidR="00853C7E" w:rsidRPr="00CE2CA6">
        <w:t>rim</w:t>
      </w:r>
      <w:r w:rsidR="00CD3309" w:rsidRPr="00CE2CA6">
        <w:t>. P 53 (“Except as otherwise provided by statute or these rules, the court must not permit the taking of p</w:t>
      </w:r>
      <w:r w:rsidR="009802AA" w:rsidRPr="00CE2CA6">
        <w:t xml:space="preserve">hotographs in the courtroom during judicial proceedings or the broadcasting of judicial proceedings from the courtroom.”). </w:t>
      </w:r>
    </w:p>
  </w:footnote>
  <w:footnote w:id="20">
    <w:p w14:paraId="202AB3CE" w14:textId="7F733523" w:rsidR="00B54E81" w:rsidRPr="00CE2CA6" w:rsidRDefault="00B54E81">
      <w:pPr>
        <w:pStyle w:val="FootnoteText"/>
        <w:rPr>
          <w:lang w:val="en-US"/>
        </w:rPr>
      </w:pPr>
      <w:r w:rsidRPr="00CE2CA6">
        <w:rPr>
          <w:rStyle w:val="FootnoteReference"/>
        </w:rPr>
        <w:footnoteRef/>
      </w:r>
      <w:r w:rsidRPr="00CE2CA6">
        <w:t xml:space="preserve"> </w:t>
      </w:r>
      <w:r w:rsidRPr="00CE2CA6">
        <w:rPr>
          <w:lang w:val="en-US"/>
        </w:rPr>
        <w:t>Richmond Newspapers, Inc. v. Virginia (1980)</w:t>
      </w:r>
    </w:p>
  </w:footnote>
  <w:footnote w:id="21">
    <w:p w14:paraId="519720BD" w14:textId="1086C432" w:rsidR="00B54E81" w:rsidRPr="00CE2CA6" w:rsidRDefault="00B54E81">
      <w:pPr>
        <w:pStyle w:val="FootnoteText"/>
        <w:rPr>
          <w:lang w:val="en-US"/>
        </w:rPr>
      </w:pPr>
      <w:r w:rsidRPr="00CE2CA6">
        <w:rPr>
          <w:rStyle w:val="FootnoteReference"/>
        </w:rPr>
        <w:footnoteRef/>
      </w:r>
      <w:r w:rsidRPr="00CE2CA6">
        <w:t xml:space="preserve"> </w:t>
      </w:r>
      <w:r w:rsidRPr="00CE2CA6">
        <w:rPr>
          <w:lang w:val="en-US"/>
        </w:rPr>
        <w:t>El Vocero de Puerto Rico v. Puerto Rico (1993).</w:t>
      </w:r>
    </w:p>
  </w:footnote>
  <w:footnote w:id="22">
    <w:p w14:paraId="321DF038" w14:textId="112927E5" w:rsidR="00CD3309" w:rsidRPr="00CE2CA6" w:rsidRDefault="00CD3309">
      <w:pPr>
        <w:pStyle w:val="FootnoteText"/>
        <w:rPr>
          <w:lang w:val="en-US"/>
        </w:rPr>
      </w:pPr>
      <w:r w:rsidRPr="00CE2CA6">
        <w:rPr>
          <w:rStyle w:val="FootnoteReference"/>
        </w:rPr>
        <w:footnoteRef/>
      </w:r>
      <w:r w:rsidRPr="00CE2CA6">
        <w:t xml:space="preserve"> </w:t>
      </w:r>
      <w:r w:rsidRPr="00CE2CA6">
        <w:rPr>
          <w:lang w:val="en-US"/>
        </w:rPr>
        <w:t>See</w:t>
      </w:r>
      <w:r w:rsidR="00173AAA" w:rsidRPr="00CE2CA6">
        <w:rPr>
          <w:lang w:val="en-US"/>
        </w:rPr>
        <w:t xml:space="preserve"> National Center for State Courts, Cameras in the Court – Resource Guide, March 20, 2019</w:t>
      </w:r>
      <w:r w:rsidR="00FF33A6" w:rsidRPr="00CE2CA6">
        <w:rPr>
          <w:lang w:val="en-US"/>
        </w:rPr>
        <w:t xml:space="preserve">, available at </w:t>
      </w:r>
      <w:hyperlink r:id="rId16" w:history="1">
        <w:r w:rsidR="00FF33A6" w:rsidRPr="00CE2CA6">
          <w:rPr>
            <w:rStyle w:val="Hyperlink"/>
            <w:lang w:val="en-US"/>
          </w:rPr>
          <w:t>https://www.ncsc.org/Topics/Media/Cameras-in-the-Court/Resource-Guide.aspx</w:t>
        </w:r>
      </w:hyperlink>
      <w:r w:rsidR="00FF33A6" w:rsidRPr="00CE2CA6">
        <w:rPr>
          <w:lang w:val="en-US"/>
        </w:rPr>
        <w:t xml:space="preserve"> (noting that most states permit exceptions regardless of which predominant rule they have adopted). </w:t>
      </w:r>
    </w:p>
  </w:footnote>
  <w:footnote w:id="23">
    <w:p w14:paraId="64FDE1A2" w14:textId="2F8018FC" w:rsidR="00C26A8D" w:rsidRPr="00CE2CA6" w:rsidRDefault="00C26A8D">
      <w:pPr>
        <w:pStyle w:val="FootnoteText"/>
        <w:rPr>
          <w:lang w:val="en-US"/>
        </w:rPr>
      </w:pPr>
      <w:r w:rsidRPr="00CE2CA6">
        <w:rPr>
          <w:rStyle w:val="FootnoteReference"/>
        </w:rPr>
        <w:footnoteRef/>
      </w:r>
      <w:r w:rsidRPr="00CE2CA6">
        <w:t xml:space="preserve"> </w:t>
      </w:r>
      <w:r w:rsidR="006B4DFC" w:rsidRPr="00CE2CA6">
        <w:t xml:space="preserve">Texas has encouraged judges to make this request and post a watermark on the broadcast that says Do Not Record. </w:t>
      </w:r>
      <w:r w:rsidR="00474E52">
        <w:t xml:space="preserve">See </w:t>
      </w:r>
    </w:p>
  </w:footnote>
  <w:footnote w:id="24">
    <w:p w14:paraId="3DA39E8B" w14:textId="3B72EFFE" w:rsidR="00012040" w:rsidRPr="00CE2CA6" w:rsidRDefault="00012040">
      <w:pPr>
        <w:pStyle w:val="FootnoteText"/>
        <w:rPr>
          <w:lang w:val="en-US"/>
        </w:rPr>
      </w:pPr>
      <w:r w:rsidRPr="00CE2CA6">
        <w:rPr>
          <w:rStyle w:val="FootnoteReference"/>
        </w:rPr>
        <w:footnoteRef/>
      </w:r>
      <w:r w:rsidRPr="00CE2CA6">
        <w:t xml:space="preserve"> </w:t>
      </w:r>
      <w:r w:rsidR="00B121A6" w:rsidRPr="00CE2CA6">
        <w:t>See, e</w:t>
      </w:r>
      <w:r w:rsidR="00496BD9" w:rsidRPr="00CE2CA6">
        <w:t>.</w:t>
      </w:r>
      <w:r w:rsidR="00B121A6" w:rsidRPr="00CE2CA6">
        <w:t xml:space="preserve">g., </w:t>
      </w:r>
      <w:r w:rsidR="00B121A6" w:rsidRPr="00CE2CA6">
        <w:rPr>
          <w:i/>
          <w:iCs/>
        </w:rPr>
        <w:t>San Bernardino County Dep't of Pub. Social Seres. v.Superior Court</w:t>
      </w:r>
      <w:r w:rsidR="00B121A6" w:rsidRPr="00CE2CA6">
        <w:t>, 283 Cal. Rptr. 332, 338-39 (Cal. Ct. App. 1991) (The First Amendment right of access does not extend to juvenile delinquency hearings).</w:t>
      </w:r>
    </w:p>
  </w:footnote>
  <w:footnote w:id="25">
    <w:p w14:paraId="10F41940" w14:textId="4C249267" w:rsidR="00134175" w:rsidRPr="00CE2CA6" w:rsidRDefault="00134175">
      <w:pPr>
        <w:pStyle w:val="FootnoteText"/>
        <w:rPr>
          <w:lang w:val="en-US"/>
        </w:rPr>
      </w:pPr>
      <w:r w:rsidRPr="00CE2CA6">
        <w:rPr>
          <w:rStyle w:val="FootnoteReference"/>
        </w:rPr>
        <w:footnoteRef/>
      </w:r>
      <w:r w:rsidRPr="00CE2CA6">
        <w:t xml:space="preserve"> </w:t>
      </w:r>
      <w:r w:rsidRPr="00CE2CA6">
        <w:rPr>
          <w:lang w:val="en-US"/>
        </w:rPr>
        <w:t>See, e.g</w:t>
      </w:r>
      <w:r w:rsidRPr="00CE2CA6">
        <w:rPr>
          <w:i/>
          <w:iCs/>
          <w:lang w:val="en-US"/>
        </w:rPr>
        <w:t>.</w:t>
      </w:r>
      <w:r w:rsidRPr="00CE2CA6">
        <w:rPr>
          <w:lang w:val="en-US"/>
        </w:rPr>
        <w:t>,</w:t>
      </w:r>
      <w:r w:rsidRPr="00CE2CA6">
        <w:rPr>
          <w:i/>
          <w:iCs/>
          <w:lang w:val="en-US"/>
        </w:rPr>
        <w:t xml:space="preserve"> State v. Ucero</w:t>
      </w:r>
      <w:r w:rsidRPr="00CE2CA6">
        <w:rPr>
          <w:lang w:val="en-US"/>
        </w:rPr>
        <w:t>, 450 A.2d 809 (RI 1982).</w:t>
      </w:r>
    </w:p>
  </w:footnote>
  <w:footnote w:id="26">
    <w:p w14:paraId="0816AF2E" w14:textId="5222CB35" w:rsidR="00CE0BA0" w:rsidRPr="00CE2CA6" w:rsidRDefault="00CE0BA0" w:rsidP="00CE0BA0">
      <w:pPr>
        <w:pStyle w:val="FootnoteText"/>
      </w:pPr>
      <w:r w:rsidRPr="00CE2CA6">
        <w:rPr>
          <w:rStyle w:val="FootnoteReference"/>
        </w:rPr>
        <w:footnoteRef/>
      </w:r>
      <w:r w:rsidRPr="00CE2CA6">
        <w:t xml:space="preserve"> Courts and Tribunals Judiciary, </w:t>
      </w:r>
      <w:r w:rsidRPr="00CE2CA6">
        <w:rPr>
          <w:i/>
          <w:iCs/>
        </w:rPr>
        <w:t>Rapid Consultation: The impact of COVID-19 measures on the civil justice system</w:t>
      </w:r>
      <w:r w:rsidRPr="00CE2CA6">
        <w:t xml:space="preserve">, May 1, 2020, available at </w:t>
      </w:r>
      <w:hyperlink r:id="rId17" w:history="1">
        <w:r w:rsidR="003D2903" w:rsidRPr="00CE2CA6">
          <w:rPr>
            <w:rStyle w:val="Hyperlink"/>
          </w:rPr>
          <w:t>https://www.judiciary.uk/announcements/rapid-consultation-the-impact-of-covid-19-measures-on-the-civil-justice-system/</w:t>
        </w:r>
      </w:hyperlink>
      <w:r w:rsidRPr="00CE2CA6">
        <w:t>.</w:t>
      </w:r>
      <w:r w:rsidR="003D2903" w:rsidRPr="00CE2CA6">
        <w:t xml:space="preserve"> </w:t>
      </w:r>
    </w:p>
  </w:footnote>
  <w:footnote w:id="27">
    <w:p w14:paraId="694B1D9F" w14:textId="15492275" w:rsidR="00CE0BA0" w:rsidRPr="00CE2CA6" w:rsidRDefault="00CE0BA0" w:rsidP="00CE0BA0">
      <w:pPr>
        <w:pStyle w:val="FootnoteText"/>
        <w:rPr>
          <w:i/>
          <w:iCs/>
          <w:lang w:val="en-US"/>
        </w:rPr>
      </w:pPr>
      <w:r w:rsidRPr="00CE2CA6">
        <w:rPr>
          <w:rStyle w:val="FootnoteReference"/>
        </w:rPr>
        <w:footnoteRef/>
      </w:r>
      <w:r w:rsidRPr="00CE2CA6">
        <w:t xml:space="preserve"> Press Release, </w:t>
      </w:r>
      <w:r w:rsidRPr="00CE2CA6">
        <w:rPr>
          <w:i/>
          <w:iCs/>
          <w:lang w:val="en-US"/>
        </w:rPr>
        <w:t>Chief Justice Beasley Forms COVID-19 Task Force</w:t>
      </w:r>
      <w:r w:rsidRPr="00CE2CA6">
        <w:rPr>
          <w:lang w:val="en-US"/>
        </w:rPr>
        <w:t xml:space="preserve">, April 30, 2020, available at </w:t>
      </w:r>
      <w:hyperlink r:id="rId18" w:history="1">
        <w:r w:rsidRPr="00CE2CA6">
          <w:rPr>
            <w:rStyle w:val="Hyperlink"/>
            <w:lang w:val="en-US"/>
          </w:rPr>
          <w:t>https://www.nccourts.gov/news/tag/press-release/chief-justice-beasley-forms-covid-19-task-force</w:t>
        </w:r>
      </w:hyperlink>
      <w:r w:rsidRPr="00CE2CA6">
        <w:rPr>
          <w:lang w:val="en-US"/>
        </w:rPr>
        <w:t xml:space="preserve">. Wisconsin similarly formed a Task Force.  See </w:t>
      </w:r>
      <w:r w:rsidRPr="00CE2CA6">
        <w:rPr>
          <w:i/>
          <w:iCs/>
          <w:lang w:val="en-US"/>
        </w:rPr>
        <w:t>Task Force to look at safe operations in state courts during COVID-19 pandemic</w:t>
      </w:r>
      <w:r w:rsidRPr="00CE2CA6">
        <w:rPr>
          <w:lang w:val="en-US"/>
        </w:rPr>
        <w:t xml:space="preserve">, April 29, 2020, available at </w:t>
      </w:r>
      <w:hyperlink r:id="rId19" w:history="1">
        <w:r w:rsidR="003D2903" w:rsidRPr="00CE2CA6">
          <w:rPr>
            <w:rStyle w:val="Hyperlink"/>
            <w:lang w:val="en-US"/>
          </w:rPr>
          <w:t>https://madison.com/wsj/news/local/crime-and-courts/task-force-to-look-at-safe-operations-in-state-courts-during-covid-19-pandemic/article_074c4636-537c-5e95-8252-aea7fabf6e61.html</w:t>
        </w:r>
      </w:hyperlink>
      <w:r w:rsidRPr="00CE2CA6">
        <w:rPr>
          <w:lang w:val="en-US"/>
        </w:rPr>
        <w:t>.</w:t>
      </w:r>
      <w:r w:rsidR="003D2903" w:rsidRPr="00CE2CA6">
        <w:rPr>
          <w:lang w:val="en-US"/>
        </w:rPr>
        <w:t xml:space="preserve"> </w:t>
      </w:r>
    </w:p>
  </w:footnote>
  <w:footnote w:id="28">
    <w:p w14:paraId="01BC5985" w14:textId="4FE009BD" w:rsidR="00CE0BA0" w:rsidRPr="00CE2CA6" w:rsidRDefault="00CE0BA0" w:rsidP="00CE0BA0">
      <w:pPr>
        <w:pStyle w:val="FootnoteText"/>
        <w:rPr>
          <w:lang w:val="en-US"/>
        </w:rPr>
      </w:pPr>
      <w:r w:rsidRPr="00CE2CA6">
        <w:rPr>
          <w:rStyle w:val="FootnoteReference"/>
        </w:rPr>
        <w:footnoteRef/>
      </w:r>
      <w:r w:rsidRPr="00CE2CA6">
        <w:t xml:space="preserve"> </w:t>
      </w:r>
      <w:r w:rsidRPr="00CE2CA6">
        <w:rPr>
          <w:lang w:val="en-US"/>
        </w:rPr>
        <w:t xml:space="preserve">JTC Quick Rapid Response Bulletin, </w:t>
      </w:r>
      <w:r w:rsidRPr="00CE2CA6">
        <w:rPr>
          <w:i/>
          <w:iCs/>
          <w:lang w:val="en-US"/>
        </w:rPr>
        <w:t xml:space="preserve">Strategic Issues to Consider when Starting Virtual Hearings, </w:t>
      </w:r>
      <w:r w:rsidRPr="00CE2CA6">
        <w:rPr>
          <w:lang w:val="en-US"/>
        </w:rPr>
        <w:t xml:space="preserve">April 7, 2020, available at </w:t>
      </w:r>
      <w:hyperlink r:id="rId20" w:history="1">
        <w:r w:rsidR="00E7144B" w:rsidRPr="00CE2CA6">
          <w:rPr>
            <w:rStyle w:val="Hyperlink"/>
            <w:lang w:val="en-US"/>
          </w:rPr>
          <w:t>https://www.ncjfcj.org/wp-content/uploads/2020/04/COSA-NSCSC-and-NACM-JTC-Response-Bulletin-Strategic-Issues-to-Consider-When-Starting-Virtual-Hearings-.pdf</w:t>
        </w:r>
      </w:hyperlink>
      <w:r w:rsidRPr="00CE2CA6">
        <w:rPr>
          <w:lang w:val="en-US"/>
        </w:rPr>
        <w:t>.</w:t>
      </w:r>
      <w:r w:rsidR="00E7144B" w:rsidRPr="00CE2CA6">
        <w:rPr>
          <w:lang w:val="en-US"/>
        </w:rPr>
        <w:t xml:space="preserve"> </w:t>
      </w:r>
    </w:p>
  </w:footnote>
  <w:footnote w:id="29">
    <w:p w14:paraId="67E29B22" w14:textId="77777777" w:rsidR="00182644" w:rsidRPr="00CE2CA6" w:rsidRDefault="003D2903" w:rsidP="00E7144B">
      <w:pPr>
        <w:pStyle w:val="NormalWeb"/>
        <w:rPr>
          <w:rFonts w:ascii="Arial" w:hAnsi="Arial" w:cs="Arial"/>
          <w:sz w:val="20"/>
          <w:szCs w:val="20"/>
        </w:rPr>
      </w:pPr>
      <w:r w:rsidRPr="00CE2CA6">
        <w:rPr>
          <w:rStyle w:val="FootnoteReference"/>
          <w:rFonts w:ascii="Arial" w:hAnsi="Arial" w:cs="Arial"/>
          <w:sz w:val="20"/>
          <w:szCs w:val="20"/>
        </w:rPr>
        <w:footnoteRef/>
      </w:r>
      <w:r w:rsidRPr="00CE2CA6">
        <w:rPr>
          <w:rFonts w:ascii="Arial" w:hAnsi="Arial" w:cs="Arial"/>
          <w:sz w:val="20"/>
          <w:szCs w:val="20"/>
        </w:rPr>
        <w:t xml:space="preserve"> </w:t>
      </w:r>
      <w:r w:rsidR="000A6B9A" w:rsidRPr="00CE2CA6">
        <w:rPr>
          <w:rFonts w:ascii="Arial" w:hAnsi="Arial" w:cs="Arial"/>
          <w:sz w:val="20"/>
          <w:szCs w:val="20"/>
        </w:rPr>
        <w:t xml:space="preserve">The committee established in England has solicited feedback from all those who have been involved in proceedings to date, specifically requesting feedback on the following questions: </w:t>
      </w:r>
    </w:p>
    <w:p w14:paraId="25D15D65" w14:textId="4C5C732E" w:rsidR="000A6B9A" w:rsidRPr="00CE2CA6" w:rsidRDefault="000A6B9A" w:rsidP="00E7144B">
      <w:pPr>
        <w:pStyle w:val="NormalWeb"/>
        <w:rPr>
          <w:rFonts w:ascii="Arial" w:hAnsi="Arial" w:cs="Arial"/>
          <w:sz w:val="20"/>
          <w:szCs w:val="20"/>
        </w:rPr>
      </w:pPr>
    </w:p>
    <w:p w14:paraId="04BC718A" w14:textId="77777777" w:rsidR="00182644" w:rsidRPr="00CE2CA6" w:rsidRDefault="00182644" w:rsidP="00182644">
      <w:pPr>
        <w:pStyle w:val="NormalWeb"/>
        <w:numPr>
          <w:ilvl w:val="0"/>
          <w:numId w:val="11"/>
        </w:numPr>
        <w:rPr>
          <w:rFonts w:ascii="Arial" w:hAnsi="Arial" w:cs="Arial"/>
          <w:sz w:val="20"/>
          <w:szCs w:val="20"/>
        </w:rPr>
      </w:pPr>
      <w:r w:rsidRPr="00CE2CA6">
        <w:rPr>
          <w:rFonts w:ascii="Arial" w:hAnsi="Arial" w:cs="Arial"/>
          <w:sz w:val="20"/>
          <w:szCs w:val="20"/>
        </w:rPr>
        <w:t>What is working well about the current arrangements?</w:t>
      </w:r>
    </w:p>
    <w:p w14:paraId="6BF8B485"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What is not working well about current arrangements?</w:t>
      </w:r>
    </w:p>
    <w:p w14:paraId="3F32416F"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Which types of cases are most suited to which type of hearings and why?</w:t>
      </w:r>
    </w:p>
    <w:p w14:paraId="0605278E"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How does the experience of remote hearings vary depending on the platform that is used?</w:t>
      </w:r>
    </w:p>
    <w:p w14:paraId="0ECB191A"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What technology is needed to make remote hearings successful?</w:t>
      </w:r>
    </w:p>
    <w:p w14:paraId="208EBBDC"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What difference does party location make to the experience of the hearing?</w:t>
      </w:r>
    </w:p>
    <w:p w14:paraId="1EC9B05B"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How do remote hearings impact on the ability of representatives to communicate with their clients?</w:t>
      </w:r>
    </w:p>
    <w:p w14:paraId="3A7F46D6"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How do professional court users and litigants feel about remote hearings?</w:t>
      </w:r>
    </w:p>
    <w:p w14:paraId="3FCD46ED"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How do litigants in person experience hearings that are conducted remotely?</w:t>
      </w:r>
    </w:p>
    <w:p w14:paraId="4126BB01"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How do remote hearings impact on perceptions of the justice system by those who are users of it?</w:t>
      </w:r>
    </w:p>
    <w:p w14:paraId="05E0E517" w14:textId="77777777"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How is practice varying across different geographical regions?</w:t>
      </w:r>
    </w:p>
    <w:p w14:paraId="1FC16106" w14:textId="6BB2DB74"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What has been the impact of current arrangements on open justice?</w:t>
      </w:r>
    </w:p>
    <w:p w14:paraId="58B3E976" w14:textId="55B65EFA" w:rsidR="000A6B9A" w:rsidRPr="00CE2CA6" w:rsidRDefault="000A6B9A" w:rsidP="000A6B9A">
      <w:pPr>
        <w:numPr>
          <w:ilvl w:val="0"/>
          <w:numId w:val="11"/>
        </w:numPr>
        <w:spacing w:before="100" w:beforeAutospacing="1" w:after="100" w:afterAutospacing="1"/>
        <w:rPr>
          <w:rFonts w:ascii="Arial" w:hAnsi="Arial" w:cs="Arial"/>
          <w:sz w:val="20"/>
          <w:szCs w:val="20"/>
        </w:rPr>
      </w:pPr>
      <w:r w:rsidRPr="00CE2CA6">
        <w:rPr>
          <w:rFonts w:ascii="Arial" w:hAnsi="Arial" w:cs="Arial"/>
          <w:sz w:val="20"/>
          <w:szCs w:val="20"/>
        </w:rPr>
        <w:t>What other observations would you make about the impact of COVID-19 on the operation of the civil justice system?</w:t>
      </w:r>
    </w:p>
    <w:p w14:paraId="64308D79" w14:textId="3C1C90AD" w:rsidR="003D2903" w:rsidRPr="00CE2CA6" w:rsidRDefault="00182644" w:rsidP="001A0920">
      <w:pPr>
        <w:spacing w:before="100" w:beforeAutospacing="1" w:after="100" w:afterAutospacing="1"/>
        <w:rPr>
          <w:rFonts w:ascii="Arial" w:hAnsi="Arial" w:cs="Arial"/>
          <w:sz w:val="20"/>
          <w:szCs w:val="20"/>
        </w:rPr>
      </w:pPr>
      <w:r w:rsidRPr="00CE2CA6">
        <w:rPr>
          <w:rFonts w:ascii="Arial" w:hAnsi="Arial" w:cs="Arial"/>
          <w:sz w:val="20"/>
          <w:szCs w:val="20"/>
        </w:rPr>
        <w:t xml:space="preserve">Courts and Tribunals Judiciary, </w:t>
      </w:r>
      <w:r w:rsidRPr="00CE2CA6">
        <w:rPr>
          <w:rFonts w:ascii="Arial" w:hAnsi="Arial" w:cs="Arial"/>
          <w:i/>
          <w:iCs/>
          <w:sz w:val="20"/>
          <w:szCs w:val="20"/>
        </w:rPr>
        <w:t>Rapid Consultation: The impact of COVID-19 measures on the civil justice system</w:t>
      </w:r>
      <w:r w:rsidRPr="00CE2CA6">
        <w:rPr>
          <w:rFonts w:ascii="Arial" w:hAnsi="Arial" w:cs="Arial"/>
          <w:sz w:val="20"/>
          <w:szCs w:val="20"/>
        </w:rPr>
        <w:t xml:space="preserve">, May 1, 2020, available at </w:t>
      </w:r>
      <w:hyperlink r:id="rId21" w:history="1">
        <w:r w:rsidRPr="00CE2CA6">
          <w:rPr>
            <w:rStyle w:val="Hyperlink"/>
            <w:rFonts w:ascii="Arial" w:hAnsi="Arial" w:cs="Arial"/>
            <w:sz w:val="20"/>
            <w:szCs w:val="20"/>
          </w:rPr>
          <w:t>https://www.judiciary.uk/announcements/rapid-consultation-the-impact-of-covid-19-measures-on-the-civil-justice-system/</w:t>
        </w:r>
      </w:hyperlink>
    </w:p>
  </w:footnote>
  <w:footnote w:id="30">
    <w:p w14:paraId="43B54817" w14:textId="583E897E" w:rsidR="001A0920" w:rsidRPr="00CE2CA6" w:rsidRDefault="001A0920">
      <w:pPr>
        <w:pStyle w:val="FootnoteText"/>
        <w:rPr>
          <w:lang w:val="en-US"/>
        </w:rPr>
      </w:pPr>
      <w:r w:rsidRPr="00CE2CA6">
        <w:rPr>
          <w:rStyle w:val="FootnoteReference"/>
        </w:rPr>
        <w:footnoteRef/>
      </w:r>
      <w:r w:rsidRPr="00CE2CA6">
        <w:t xml:space="preserve"> Shari Seidman Diamond</w:t>
      </w:r>
      <w:r w:rsidR="001C7793" w:rsidRPr="00CE2CA6">
        <w:t xml:space="preserve">, </w:t>
      </w:r>
      <w:r w:rsidR="001C7793" w:rsidRPr="00CE2CA6">
        <w:rPr>
          <w:i/>
          <w:iCs/>
        </w:rPr>
        <w:t>Efficiency and Cost: The Impact</w:t>
      </w:r>
      <w:r w:rsidR="009B4897" w:rsidRPr="00CE2CA6">
        <w:rPr>
          <w:i/>
          <w:iCs/>
        </w:rPr>
        <w:t xml:space="preserve"> of Videoconferenced Hearings on Bail Decisions</w:t>
      </w:r>
      <w:r w:rsidR="009B4897" w:rsidRPr="00CE2CA6">
        <w:t>, 100 J</w:t>
      </w:r>
      <w:r w:rsidR="00D20E48" w:rsidRPr="00CE2CA6">
        <w:t xml:space="preserve">. </w:t>
      </w:r>
      <w:r w:rsidR="009B4897" w:rsidRPr="00CE2CA6">
        <w:t>of Crim</w:t>
      </w:r>
      <w:r w:rsidR="00D20E48" w:rsidRPr="00CE2CA6">
        <w:t>.</w:t>
      </w:r>
      <w:r w:rsidR="009B4897" w:rsidRPr="00CE2CA6">
        <w:t xml:space="preserve"> L</w:t>
      </w:r>
      <w:r w:rsidR="00D20E48" w:rsidRPr="00CE2CA6">
        <w:t>.</w:t>
      </w:r>
      <w:r w:rsidR="009B4897" w:rsidRPr="00CE2CA6">
        <w:t>&amp; Criminology</w:t>
      </w:r>
      <w:r w:rsidR="00D20E48" w:rsidRPr="00CE2CA6">
        <w:t xml:space="preserve"> 869 (2010).</w:t>
      </w:r>
    </w:p>
  </w:footnote>
  <w:footnote w:id="31">
    <w:p w14:paraId="3C761FE0" w14:textId="76DBE562" w:rsidR="000F10C5" w:rsidRPr="00CE2CA6" w:rsidRDefault="000F10C5">
      <w:pPr>
        <w:pStyle w:val="FootnoteText"/>
        <w:rPr>
          <w:lang w:val="en-US"/>
        </w:rPr>
      </w:pPr>
      <w:r w:rsidRPr="00CE2CA6">
        <w:rPr>
          <w:rStyle w:val="FootnoteReference"/>
        </w:rPr>
        <w:footnoteRef/>
      </w:r>
      <w:r w:rsidRPr="00CE2CA6">
        <w:t xml:space="preserve"> </w:t>
      </w:r>
      <w:r w:rsidRPr="00CE2CA6">
        <w:rPr>
          <w:i/>
          <w:iCs/>
          <w:lang w:val="en-US"/>
        </w:rPr>
        <w:t xml:space="preserve">Id. </w:t>
      </w:r>
      <w:r w:rsidRPr="00CE2CA6">
        <w:rPr>
          <w:lang w:val="en-US"/>
        </w:rPr>
        <w:t>at 898.</w:t>
      </w:r>
    </w:p>
  </w:footnote>
  <w:footnote w:id="32">
    <w:p w14:paraId="12EF72FD" w14:textId="11AA6EE5" w:rsidR="000F10C5" w:rsidRPr="00CE2CA6" w:rsidRDefault="000F10C5">
      <w:pPr>
        <w:pStyle w:val="FootnoteText"/>
        <w:rPr>
          <w:lang w:val="en-US"/>
        </w:rPr>
      </w:pPr>
      <w:r w:rsidRPr="00CE2CA6">
        <w:rPr>
          <w:rStyle w:val="FootnoteReference"/>
        </w:rPr>
        <w:footnoteRef/>
      </w:r>
      <w:r w:rsidRPr="00CE2CA6">
        <w:t xml:space="preserve"> </w:t>
      </w:r>
      <w:r w:rsidRPr="00CE2CA6">
        <w:rPr>
          <w:i/>
          <w:iCs/>
          <w:lang w:val="en-US"/>
        </w:rPr>
        <w:t xml:space="preserve">Id. </w:t>
      </w:r>
      <w:r w:rsidRPr="00CE2CA6">
        <w:rPr>
          <w:lang w:val="en-US"/>
        </w:rPr>
        <w:t xml:space="preserve">at </w:t>
      </w:r>
      <w:r w:rsidR="00F22484" w:rsidRPr="00CE2CA6">
        <w:rPr>
          <w:lang w:val="en-US"/>
        </w:rPr>
        <w:t>897.</w:t>
      </w:r>
    </w:p>
  </w:footnote>
  <w:footnote w:id="33">
    <w:p w14:paraId="14A2CDC8" w14:textId="44EDE8FD" w:rsidR="00774961" w:rsidRPr="00CE2CA6" w:rsidRDefault="00774961">
      <w:pPr>
        <w:pStyle w:val="FootnoteText"/>
        <w:rPr>
          <w:lang w:val="en-US"/>
        </w:rPr>
      </w:pPr>
      <w:r w:rsidRPr="00CE2CA6">
        <w:rPr>
          <w:rStyle w:val="FootnoteReference"/>
        </w:rPr>
        <w:footnoteRef/>
      </w:r>
      <w:r w:rsidRPr="00CE2CA6">
        <w:t xml:space="preserve"> </w:t>
      </w:r>
      <w:r w:rsidRPr="00CE2CA6">
        <w:rPr>
          <w:i/>
          <w:iCs/>
          <w:lang w:val="en-US"/>
        </w:rPr>
        <w:t>Id.</w:t>
      </w:r>
      <w:r w:rsidRPr="00CE2CA6">
        <w:rPr>
          <w:lang w:val="en-US"/>
        </w:rPr>
        <w:t xml:space="preserve"> at </w:t>
      </w:r>
      <w:r w:rsidR="00962FE6" w:rsidRPr="00CE2CA6">
        <w:rPr>
          <w:lang w:val="en-US"/>
        </w:rPr>
        <w:t>898-99.</w:t>
      </w:r>
    </w:p>
  </w:footnote>
  <w:footnote w:id="34">
    <w:p w14:paraId="0539DD51" w14:textId="0EFEF640" w:rsidR="00205F30" w:rsidRPr="00CE2CA6" w:rsidRDefault="00205F30">
      <w:pPr>
        <w:pStyle w:val="FootnoteText"/>
        <w:rPr>
          <w:lang w:val="en-US"/>
        </w:rPr>
      </w:pPr>
      <w:r w:rsidRPr="00CE2CA6">
        <w:rPr>
          <w:rStyle w:val="FootnoteReference"/>
        </w:rPr>
        <w:footnoteRef/>
      </w:r>
      <w:r w:rsidRPr="00CE2CA6">
        <w:t xml:space="preserve"> </w:t>
      </w:r>
      <w:r w:rsidR="00B64060" w:rsidRPr="00CE2CA6">
        <w:rPr>
          <w:lang w:val="en-US"/>
        </w:rPr>
        <w:t xml:space="preserve">The Legal Assistance Foundation of Metropolitan Chicago and the Chicago Appleseed Fund for Justice, </w:t>
      </w:r>
      <w:r w:rsidR="00B64060" w:rsidRPr="00CE2CA6">
        <w:rPr>
          <w:i/>
          <w:iCs/>
          <w:lang w:val="en-US"/>
        </w:rPr>
        <w:t>Videoconferencing in Removal Hearings: A Case Study of the Chicago Immigration Court</w:t>
      </w:r>
      <w:r w:rsidR="00B64060" w:rsidRPr="00CE2CA6">
        <w:rPr>
          <w:lang w:val="en-US"/>
        </w:rPr>
        <w:t xml:space="preserve">, Aug. 2, 2005, at </w:t>
      </w:r>
      <w:r w:rsidR="006751A7" w:rsidRPr="00CE2CA6">
        <w:rPr>
          <w:lang w:val="en-US"/>
        </w:rPr>
        <w:t xml:space="preserve">5, </w:t>
      </w:r>
      <w:r w:rsidR="00B64060" w:rsidRPr="00CE2CA6">
        <w:rPr>
          <w:lang w:val="en-US"/>
        </w:rPr>
        <w:t xml:space="preserve">available at </w:t>
      </w:r>
      <w:hyperlink r:id="rId22" w:history="1">
        <w:r w:rsidR="00B64060" w:rsidRPr="00CE2CA6">
          <w:rPr>
            <w:rStyle w:val="Hyperlink"/>
            <w:lang w:val="en-US"/>
          </w:rPr>
          <w:t>http://chicagoappleseed.org/wp-content/uploads/2012/08/videoconfreport_080205.pdf</w:t>
        </w:r>
      </w:hyperlink>
      <w:r w:rsidR="00B64060" w:rsidRPr="00CE2CA6">
        <w:rPr>
          <w:lang w:val="en-US"/>
        </w:rPr>
        <w:t xml:space="preserve">. </w:t>
      </w:r>
    </w:p>
  </w:footnote>
  <w:footnote w:id="35">
    <w:p w14:paraId="7E9B8C88" w14:textId="5771A1B2" w:rsidR="00CB2268" w:rsidRPr="00CE2CA6" w:rsidRDefault="00CB2268">
      <w:pPr>
        <w:pStyle w:val="FootnoteText"/>
        <w:rPr>
          <w:lang w:val="en-US"/>
        </w:rPr>
      </w:pPr>
      <w:r w:rsidRPr="00CE2CA6">
        <w:rPr>
          <w:rStyle w:val="FootnoteReference"/>
        </w:rPr>
        <w:footnoteRef/>
      </w:r>
      <w:r w:rsidRPr="00CE2CA6">
        <w:t xml:space="preserve"> </w:t>
      </w:r>
      <w:r w:rsidR="00A37386" w:rsidRPr="00CE2CA6">
        <w:rPr>
          <w:i/>
          <w:iCs/>
          <w:lang w:val="en-US"/>
        </w:rPr>
        <w:t>Id</w:t>
      </w:r>
      <w:r w:rsidR="00AB59DE" w:rsidRPr="00CE2CA6">
        <w:rPr>
          <w:i/>
          <w:iCs/>
          <w:lang w:val="en-US"/>
        </w:rPr>
        <w:t>.</w:t>
      </w:r>
      <w:r w:rsidR="00AB59DE" w:rsidRPr="00CE2CA6">
        <w:rPr>
          <w:lang w:val="en-US"/>
        </w:rPr>
        <w:t xml:space="preserve"> </w:t>
      </w:r>
    </w:p>
  </w:footnote>
  <w:footnote w:id="36">
    <w:p w14:paraId="18462364" w14:textId="33405D4C" w:rsidR="00AB59DE" w:rsidRPr="00CE2CA6" w:rsidRDefault="00AB59DE">
      <w:pPr>
        <w:pStyle w:val="FootnoteText"/>
        <w:rPr>
          <w:lang w:val="en-US"/>
        </w:rPr>
      </w:pPr>
      <w:r w:rsidRPr="00CE2CA6">
        <w:rPr>
          <w:rStyle w:val="FootnoteReference"/>
        </w:rPr>
        <w:footnoteRef/>
      </w:r>
      <w:r w:rsidRPr="00CE2CA6">
        <w:t xml:space="preserve"> </w:t>
      </w:r>
      <w:r w:rsidRPr="00CE2CA6">
        <w:rPr>
          <w:i/>
          <w:iCs/>
          <w:lang w:val="en-US"/>
        </w:rPr>
        <w:t>Id.</w:t>
      </w:r>
      <w:r w:rsidRPr="00CE2CA6">
        <w:rPr>
          <w:lang w:val="en-US"/>
        </w:rPr>
        <w:t xml:space="preserve"> at 6-7.</w:t>
      </w:r>
    </w:p>
  </w:footnote>
  <w:footnote w:id="37">
    <w:p w14:paraId="0B6E40F1" w14:textId="11307124" w:rsidR="003C5035" w:rsidRPr="00CE2CA6" w:rsidRDefault="003C5035">
      <w:pPr>
        <w:pStyle w:val="FootnoteText"/>
        <w:rPr>
          <w:i/>
          <w:iCs/>
          <w:lang w:val="en-US"/>
        </w:rPr>
      </w:pPr>
      <w:r w:rsidRPr="00CE2CA6">
        <w:rPr>
          <w:rStyle w:val="FootnoteReference"/>
        </w:rPr>
        <w:footnoteRef/>
      </w:r>
      <w:r w:rsidRPr="00CE2CA6">
        <w:t xml:space="preserve"> </w:t>
      </w:r>
      <w:r w:rsidR="00C026E9" w:rsidRPr="00CE2CA6">
        <w:rPr>
          <w:i/>
          <w:iCs/>
          <w:lang w:val="en-US"/>
        </w:rPr>
        <w:t xml:space="preserve">Id. </w:t>
      </w:r>
      <w:r w:rsidR="00C026E9" w:rsidRPr="00CE2CA6">
        <w:rPr>
          <w:lang w:val="en-US"/>
        </w:rPr>
        <w:t>at 8.</w:t>
      </w:r>
      <w:r w:rsidR="00C026E9" w:rsidRPr="00CE2CA6">
        <w:rPr>
          <w:i/>
          <w:iCs/>
          <w:lang w:val="en-US"/>
        </w:rPr>
        <w:t xml:space="preserve"> </w:t>
      </w:r>
    </w:p>
  </w:footnote>
  <w:footnote w:id="38">
    <w:p w14:paraId="5855FA15" w14:textId="66C1FD18" w:rsidR="00A178C9" w:rsidRPr="00CE2CA6" w:rsidRDefault="00A178C9" w:rsidP="009641FB">
      <w:pPr>
        <w:rPr>
          <w:rFonts w:ascii="Arial" w:hAnsi="Arial" w:cs="Arial"/>
          <w:color w:val="000000"/>
          <w:sz w:val="20"/>
          <w:szCs w:val="20"/>
        </w:rPr>
      </w:pPr>
      <w:r w:rsidRPr="00CE2CA6">
        <w:rPr>
          <w:rStyle w:val="FootnoteReference"/>
          <w:rFonts w:ascii="Arial" w:hAnsi="Arial" w:cs="Arial"/>
          <w:sz w:val="20"/>
          <w:szCs w:val="20"/>
        </w:rPr>
        <w:footnoteRef/>
      </w:r>
      <w:r w:rsidRPr="00CE2CA6">
        <w:rPr>
          <w:rFonts w:ascii="Arial" w:hAnsi="Arial" w:cs="Arial"/>
          <w:sz w:val="20"/>
          <w:szCs w:val="20"/>
        </w:rPr>
        <w:t xml:space="preserve"> </w:t>
      </w:r>
      <w:r w:rsidRPr="00CE2CA6">
        <w:rPr>
          <w:rFonts w:ascii="Arial" w:hAnsi="Arial" w:cs="Arial"/>
          <w:color w:val="000000"/>
          <w:sz w:val="20"/>
          <w:szCs w:val="20"/>
        </w:rPr>
        <w:t>Frank M. Walsh &amp; Edward M. Walsh, Effective Processing or Assembly-Line Justice? The Use of Teleconferencing in Asylum Removal Hearings, 22 GEO. IMMIGR. L.J. 259, 271 (2008).</w:t>
      </w:r>
    </w:p>
  </w:footnote>
  <w:footnote w:id="39">
    <w:p w14:paraId="1F84E87A" w14:textId="77777777" w:rsidR="00AB1244" w:rsidRPr="00CE2CA6" w:rsidRDefault="00AB1244" w:rsidP="00AB1244">
      <w:pPr>
        <w:pStyle w:val="FootnoteText"/>
        <w:rPr>
          <w:lang w:val="en-US"/>
        </w:rPr>
      </w:pPr>
      <w:r w:rsidRPr="00CE2CA6">
        <w:rPr>
          <w:rStyle w:val="FootnoteReference"/>
        </w:rPr>
        <w:footnoteRef/>
      </w:r>
      <w:r w:rsidRPr="00CE2CA6">
        <w:t xml:space="preserve"> </w:t>
      </w:r>
      <w:r w:rsidRPr="00CE2CA6">
        <w:rPr>
          <w:bCs/>
        </w:rPr>
        <w:t xml:space="preserve">The RAND corporation recently conducted a review of existing research on remote and virtual proceedings, convening an Advisory Workshop and publishing a set of recommendations regarding needed research. </w:t>
      </w:r>
      <w:r w:rsidRPr="00CE2CA6">
        <w:t xml:space="preserve">Camille Gourdet, et. al., </w:t>
      </w:r>
      <w:r w:rsidRPr="00CE2CA6">
        <w:rPr>
          <w:i/>
          <w:iCs/>
        </w:rPr>
        <w:t>Court Appearances in Criminal Proceedings Through Telepresence: Identifying Research and Practice Needs to Preserve Fairness While Leveraging New Technology</w:t>
      </w:r>
      <w:r w:rsidRPr="00CE2CA6">
        <w:t xml:space="preserve">. RAND Corporation, 2020. </w:t>
      </w:r>
      <w:hyperlink r:id="rId23" w:history="1">
        <w:r w:rsidRPr="00CE2CA6">
          <w:rPr>
            <w:rStyle w:val="Hyperlink"/>
          </w:rPr>
          <w:t>https://www.rand.org/pubs/research_reports/RR3222.html</w:t>
        </w:r>
      </w:hyperlink>
      <w:r w:rsidRPr="00CE2CA6">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0107" w14:textId="77777777" w:rsidR="000921BD" w:rsidRDefault="000921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156D" w14:textId="77777777" w:rsidR="000921BD" w:rsidRDefault="000921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D783" w14:textId="77777777" w:rsidR="000921BD" w:rsidRDefault="00092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DE7"/>
    <w:multiLevelType w:val="multilevel"/>
    <w:tmpl w:val="4B3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B2FCA"/>
    <w:multiLevelType w:val="hybridMultilevel"/>
    <w:tmpl w:val="7E9A7332"/>
    <w:lvl w:ilvl="0" w:tplc="3CF269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8770F"/>
    <w:multiLevelType w:val="hybridMultilevel"/>
    <w:tmpl w:val="7E9A7332"/>
    <w:lvl w:ilvl="0" w:tplc="3CF269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31899"/>
    <w:multiLevelType w:val="hybridMultilevel"/>
    <w:tmpl w:val="494A19D2"/>
    <w:lvl w:ilvl="0" w:tplc="FFBA3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B0748"/>
    <w:multiLevelType w:val="hybridMultilevel"/>
    <w:tmpl w:val="14AEC26E"/>
    <w:lvl w:ilvl="0" w:tplc="7CBEE2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06224"/>
    <w:multiLevelType w:val="hybridMultilevel"/>
    <w:tmpl w:val="7E9A7332"/>
    <w:lvl w:ilvl="0" w:tplc="3CF269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33B19"/>
    <w:multiLevelType w:val="multilevel"/>
    <w:tmpl w:val="C60A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03395"/>
    <w:multiLevelType w:val="hybridMultilevel"/>
    <w:tmpl w:val="423423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A82334"/>
    <w:multiLevelType w:val="multilevel"/>
    <w:tmpl w:val="56BAACC0"/>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6534CED"/>
    <w:multiLevelType w:val="hybridMultilevel"/>
    <w:tmpl w:val="EC204B88"/>
    <w:lvl w:ilvl="0" w:tplc="5B00A55A">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2D7DF0"/>
    <w:multiLevelType w:val="hybridMultilevel"/>
    <w:tmpl w:val="9758B444"/>
    <w:lvl w:ilvl="0" w:tplc="1E88B216">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3"/>
  </w:num>
  <w:num w:numId="7">
    <w:abstractNumId w:val="6"/>
  </w:num>
  <w:num w:numId="8">
    <w:abstractNumId w:val="5"/>
  </w:num>
  <w:num w:numId="9">
    <w:abstractNumId w:val="4"/>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64"/>
    <w:rsid w:val="00003B35"/>
    <w:rsid w:val="000062C9"/>
    <w:rsid w:val="00006421"/>
    <w:rsid w:val="00010287"/>
    <w:rsid w:val="00010E66"/>
    <w:rsid w:val="000113C2"/>
    <w:rsid w:val="00012040"/>
    <w:rsid w:val="00012B91"/>
    <w:rsid w:val="00012D9C"/>
    <w:rsid w:val="000132B6"/>
    <w:rsid w:val="00014F03"/>
    <w:rsid w:val="00015027"/>
    <w:rsid w:val="00027840"/>
    <w:rsid w:val="000326DF"/>
    <w:rsid w:val="00040349"/>
    <w:rsid w:val="0004247B"/>
    <w:rsid w:val="00043C18"/>
    <w:rsid w:val="000441E3"/>
    <w:rsid w:val="00044CC1"/>
    <w:rsid w:val="00044DF9"/>
    <w:rsid w:val="000451D6"/>
    <w:rsid w:val="0004780C"/>
    <w:rsid w:val="00051925"/>
    <w:rsid w:val="00051A70"/>
    <w:rsid w:val="00052631"/>
    <w:rsid w:val="00055284"/>
    <w:rsid w:val="00056C98"/>
    <w:rsid w:val="000573E7"/>
    <w:rsid w:val="00061283"/>
    <w:rsid w:val="00061F29"/>
    <w:rsid w:val="00063067"/>
    <w:rsid w:val="0006330A"/>
    <w:rsid w:val="0006498E"/>
    <w:rsid w:val="00064BDA"/>
    <w:rsid w:val="00066403"/>
    <w:rsid w:val="00066A12"/>
    <w:rsid w:val="000707FB"/>
    <w:rsid w:val="00073F53"/>
    <w:rsid w:val="00076D75"/>
    <w:rsid w:val="00083205"/>
    <w:rsid w:val="000846CD"/>
    <w:rsid w:val="000861AC"/>
    <w:rsid w:val="00087226"/>
    <w:rsid w:val="00090BEB"/>
    <w:rsid w:val="00090C66"/>
    <w:rsid w:val="000921BD"/>
    <w:rsid w:val="00096AEF"/>
    <w:rsid w:val="000A3C83"/>
    <w:rsid w:val="000A5A32"/>
    <w:rsid w:val="000A6B9A"/>
    <w:rsid w:val="000B01C8"/>
    <w:rsid w:val="000B0895"/>
    <w:rsid w:val="000C141F"/>
    <w:rsid w:val="000C1A8F"/>
    <w:rsid w:val="000C1B2C"/>
    <w:rsid w:val="000C2124"/>
    <w:rsid w:val="000C3A22"/>
    <w:rsid w:val="000C41F9"/>
    <w:rsid w:val="000C4CA3"/>
    <w:rsid w:val="000D245F"/>
    <w:rsid w:val="000D373C"/>
    <w:rsid w:val="000D47C4"/>
    <w:rsid w:val="000D7B9D"/>
    <w:rsid w:val="000E0829"/>
    <w:rsid w:val="000E2317"/>
    <w:rsid w:val="000E2E5A"/>
    <w:rsid w:val="000E2FA3"/>
    <w:rsid w:val="000E3BAF"/>
    <w:rsid w:val="000E404C"/>
    <w:rsid w:val="000E7130"/>
    <w:rsid w:val="000E7DC5"/>
    <w:rsid w:val="000F10C5"/>
    <w:rsid w:val="000F6020"/>
    <w:rsid w:val="000F659E"/>
    <w:rsid w:val="00102EDC"/>
    <w:rsid w:val="00103D23"/>
    <w:rsid w:val="001048FD"/>
    <w:rsid w:val="001061D3"/>
    <w:rsid w:val="00110B1B"/>
    <w:rsid w:val="001149AB"/>
    <w:rsid w:val="00115619"/>
    <w:rsid w:val="00121D24"/>
    <w:rsid w:val="00127766"/>
    <w:rsid w:val="00130B21"/>
    <w:rsid w:val="001313B0"/>
    <w:rsid w:val="00134175"/>
    <w:rsid w:val="00140381"/>
    <w:rsid w:val="0014314D"/>
    <w:rsid w:val="00144578"/>
    <w:rsid w:val="0014628D"/>
    <w:rsid w:val="00150CDD"/>
    <w:rsid w:val="00151CB2"/>
    <w:rsid w:val="00152A3E"/>
    <w:rsid w:val="00152BB6"/>
    <w:rsid w:val="00153BEC"/>
    <w:rsid w:val="00155DD7"/>
    <w:rsid w:val="00156318"/>
    <w:rsid w:val="001570A6"/>
    <w:rsid w:val="00160E7A"/>
    <w:rsid w:val="00162850"/>
    <w:rsid w:val="00163EC0"/>
    <w:rsid w:val="00167525"/>
    <w:rsid w:val="00170134"/>
    <w:rsid w:val="0017092C"/>
    <w:rsid w:val="00173138"/>
    <w:rsid w:val="00173AAA"/>
    <w:rsid w:val="00173EC3"/>
    <w:rsid w:val="00174666"/>
    <w:rsid w:val="00174C92"/>
    <w:rsid w:val="001761DD"/>
    <w:rsid w:val="001807AF"/>
    <w:rsid w:val="00181906"/>
    <w:rsid w:val="00182644"/>
    <w:rsid w:val="001826E3"/>
    <w:rsid w:val="00191A00"/>
    <w:rsid w:val="001941C7"/>
    <w:rsid w:val="00194AF7"/>
    <w:rsid w:val="001A0920"/>
    <w:rsid w:val="001A2A1A"/>
    <w:rsid w:val="001A2FCB"/>
    <w:rsid w:val="001A3F42"/>
    <w:rsid w:val="001A488F"/>
    <w:rsid w:val="001B09BB"/>
    <w:rsid w:val="001B1583"/>
    <w:rsid w:val="001C0EA8"/>
    <w:rsid w:val="001C200A"/>
    <w:rsid w:val="001C2BE0"/>
    <w:rsid w:val="001C37E2"/>
    <w:rsid w:val="001C6BBC"/>
    <w:rsid w:val="001C6D7F"/>
    <w:rsid w:val="001C7793"/>
    <w:rsid w:val="001D1730"/>
    <w:rsid w:val="001D2D3B"/>
    <w:rsid w:val="001E1CD1"/>
    <w:rsid w:val="001E24DE"/>
    <w:rsid w:val="001E2FC7"/>
    <w:rsid w:val="001E378C"/>
    <w:rsid w:val="001E4BDF"/>
    <w:rsid w:val="001E57D3"/>
    <w:rsid w:val="001F4731"/>
    <w:rsid w:val="00205F30"/>
    <w:rsid w:val="00213708"/>
    <w:rsid w:val="002149FA"/>
    <w:rsid w:val="00214C20"/>
    <w:rsid w:val="0021549C"/>
    <w:rsid w:val="00222632"/>
    <w:rsid w:val="002244A0"/>
    <w:rsid w:val="0022598E"/>
    <w:rsid w:val="00226286"/>
    <w:rsid w:val="002271E4"/>
    <w:rsid w:val="00230592"/>
    <w:rsid w:val="0023211E"/>
    <w:rsid w:val="00234B14"/>
    <w:rsid w:val="002354DD"/>
    <w:rsid w:val="00236335"/>
    <w:rsid w:val="002366F5"/>
    <w:rsid w:val="002412D3"/>
    <w:rsid w:val="0024265C"/>
    <w:rsid w:val="00245082"/>
    <w:rsid w:val="00245D33"/>
    <w:rsid w:val="00251E64"/>
    <w:rsid w:val="002574E9"/>
    <w:rsid w:val="002602D7"/>
    <w:rsid w:val="00265469"/>
    <w:rsid w:val="002658B1"/>
    <w:rsid w:val="00265C7A"/>
    <w:rsid w:val="002660FF"/>
    <w:rsid w:val="00266971"/>
    <w:rsid w:val="00266A77"/>
    <w:rsid w:val="00273BC7"/>
    <w:rsid w:val="00277720"/>
    <w:rsid w:val="002816AA"/>
    <w:rsid w:val="00286924"/>
    <w:rsid w:val="0029010A"/>
    <w:rsid w:val="0029083C"/>
    <w:rsid w:val="00290852"/>
    <w:rsid w:val="00290A96"/>
    <w:rsid w:val="00291041"/>
    <w:rsid w:val="0029104B"/>
    <w:rsid w:val="002928EF"/>
    <w:rsid w:val="00294491"/>
    <w:rsid w:val="00295F40"/>
    <w:rsid w:val="00297410"/>
    <w:rsid w:val="002A3001"/>
    <w:rsid w:val="002A3F6A"/>
    <w:rsid w:val="002A4692"/>
    <w:rsid w:val="002A4898"/>
    <w:rsid w:val="002B1444"/>
    <w:rsid w:val="002B51B5"/>
    <w:rsid w:val="002B7973"/>
    <w:rsid w:val="002C1BFD"/>
    <w:rsid w:val="002C5583"/>
    <w:rsid w:val="002C684B"/>
    <w:rsid w:val="002D090B"/>
    <w:rsid w:val="002D4E2D"/>
    <w:rsid w:val="002D55D0"/>
    <w:rsid w:val="002D6453"/>
    <w:rsid w:val="002E077B"/>
    <w:rsid w:val="002E5512"/>
    <w:rsid w:val="002E6B46"/>
    <w:rsid w:val="002E6B70"/>
    <w:rsid w:val="002E7760"/>
    <w:rsid w:val="002F26A0"/>
    <w:rsid w:val="002F2DED"/>
    <w:rsid w:val="002F63BA"/>
    <w:rsid w:val="002F683E"/>
    <w:rsid w:val="002F7A1B"/>
    <w:rsid w:val="00300280"/>
    <w:rsid w:val="00305F28"/>
    <w:rsid w:val="003072BA"/>
    <w:rsid w:val="00311907"/>
    <w:rsid w:val="00312456"/>
    <w:rsid w:val="00312523"/>
    <w:rsid w:val="00312D17"/>
    <w:rsid w:val="003144E3"/>
    <w:rsid w:val="003207CA"/>
    <w:rsid w:val="00322ABD"/>
    <w:rsid w:val="00323B45"/>
    <w:rsid w:val="00330D25"/>
    <w:rsid w:val="00332A11"/>
    <w:rsid w:val="003366DC"/>
    <w:rsid w:val="00340DF1"/>
    <w:rsid w:val="00343EF4"/>
    <w:rsid w:val="0034554F"/>
    <w:rsid w:val="003548DD"/>
    <w:rsid w:val="00360EC3"/>
    <w:rsid w:val="00361F3B"/>
    <w:rsid w:val="00367001"/>
    <w:rsid w:val="003674D3"/>
    <w:rsid w:val="003675DA"/>
    <w:rsid w:val="003745EC"/>
    <w:rsid w:val="003769F8"/>
    <w:rsid w:val="00380053"/>
    <w:rsid w:val="00380FCD"/>
    <w:rsid w:val="00383113"/>
    <w:rsid w:val="00386717"/>
    <w:rsid w:val="00386FA5"/>
    <w:rsid w:val="003903F0"/>
    <w:rsid w:val="00397088"/>
    <w:rsid w:val="00397373"/>
    <w:rsid w:val="003A0358"/>
    <w:rsid w:val="003A1228"/>
    <w:rsid w:val="003A1778"/>
    <w:rsid w:val="003A2AC6"/>
    <w:rsid w:val="003A7E71"/>
    <w:rsid w:val="003B2CAB"/>
    <w:rsid w:val="003B3723"/>
    <w:rsid w:val="003B4199"/>
    <w:rsid w:val="003B4A5E"/>
    <w:rsid w:val="003B6674"/>
    <w:rsid w:val="003B7D54"/>
    <w:rsid w:val="003C2FA8"/>
    <w:rsid w:val="003C5035"/>
    <w:rsid w:val="003D21E4"/>
    <w:rsid w:val="003D25AA"/>
    <w:rsid w:val="003D2903"/>
    <w:rsid w:val="003D3362"/>
    <w:rsid w:val="003D38E9"/>
    <w:rsid w:val="003D59EE"/>
    <w:rsid w:val="003E00E2"/>
    <w:rsid w:val="003E0249"/>
    <w:rsid w:val="003E3F99"/>
    <w:rsid w:val="003E40F8"/>
    <w:rsid w:val="003E6867"/>
    <w:rsid w:val="003E73EE"/>
    <w:rsid w:val="003F1A28"/>
    <w:rsid w:val="003F276D"/>
    <w:rsid w:val="003F3D16"/>
    <w:rsid w:val="003F7719"/>
    <w:rsid w:val="003F7E86"/>
    <w:rsid w:val="00401CAD"/>
    <w:rsid w:val="004040F7"/>
    <w:rsid w:val="0040551A"/>
    <w:rsid w:val="0040799E"/>
    <w:rsid w:val="00411E72"/>
    <w:rsid w:val="00414D5A"/>
    <w:rsid w:val="00420C6B"/>
    <w:rsid w:val="0042661A"/>
    <w:rsid w:val="004327DA"/>
    <w:rsid w:val="00436387"/>
    <w:rsid w:val="00436BE4"/>
    <w:rsid w:val="00442F76"/>
    <w:rsid w:val="00451AC4"/>
    <w:rsid w:val="00451BCC"/>
    <w:rsid w:val="00453674"/>
    <w:rsid w:val="00454016"/>
    <w:rsid w:val="00457023"/>
    <w:rsid w:val="00457945"/>
    <w:rsid w:val="00462E58"/>
    <w:rsid w:val="00463062"/>
    <w:rsid w:val="0046402C"/>
    <w:rsid w:val="0046525C"/>
    <w:rsid w:val="004679A7"/>
    <w:rsid w:val="00471650"/>
    <w:rsid w:val="004728F1"/>
    <w:rsid w:val="00474373"/>
    <w:rsid w:val="00474D72"/>
    <w:rsid w:val="00474E52"/>
    <w:rsid w:val="00477997"/>
    <w:rsid w:val="00481D2A"/>
    <w:rsid w:val="00482F4A"/>
    <w:rsid w:val="004830C6"/>
    <w:rsid w:val="00486EBC"/>
    <w:rsid w:val="00490315"/>
    <w:rsid w:val="00491674"/>
    <w:rsid w:val="0049244F"/>
    <w:rsid w:val="00495F2D"/>
    <w:rsid w:val="004960E1"/>
    <w:rsid w:val="00496BD9"/>
    <w:rsid w:val="004A2046"/>
    <w:rsid w:val="004A23C8"/>
    <w:rsid w:val="004A33FD"/>
    <w:rsid w:val="004A3858"/>
    <w:rsid w:val="004A40B1"/>
    <w:rsid w:val="004A67BF"/>
    <w:rsid w:val="004B37C8"/>
    <w:rsid w:val="004B3893"/>
    <w:rsid w:val="004B48A7"/>
    <w:rsid w:val="004B4967"/>
    <w:rsid w:val="004B6E87"/>
    <w:rsid w:val="004B70CA"/>
    <w:rsid w:val="004C12BC"/>
    <w:rsid w:val="004C2489"/>
    <w:rsid w:val="004C51F9"/>
    <w:rsid w:val="004C7527"/>
    <w:rsid w:val="004C7727"/>
    <w:rsid w:val="004D1C84"/>
    <w:rsid w:val="004D2933"/>
    <w:rsid w:val="004D42A8"/>
    <w:rsid w:val="004E0625"/>
    <w:rsid w:val="004E6B1C"/>
    <w:rsid w:val="00501362"/>
    <w:rsid w:val="00502939"/>
    <w:rsid w:val="005053B7"/>
    <w:rsid w:val="0051311C"/>
    <w:rsid w:val="00513195"/>
    <w:rsid w:val="005133B7"/>
    <w:rsid w:val="00515FEE"/>
    <w:rsid w:val="00516594"/>
    <w:rsid w:val="00516FF6"/>
    <w:rsid w:val="005206E8"/>
    <w:rsid w:val="00523D05"/>
    <w:rsid w:val="0052550F"/>
    <w:rsid w:val="0052694E"/>
    <w:rsid w:val="005270F4"/>
    <w:rsid w:val="005306C5"/>
    <w:rsid w:val="005428AF"/>
    <w:rsid w:val="00552AE5"/>
    <w:rsid w:val="00554D3A"/>
    <w:rsid w:val="00554E20"/>
    <w:rsid w:val="00556624"/>
    <w:rsid w:val="00560480"/>
    <w:rsid w:val="005621A2"/>
    <w:rsid w:val="005630C5"/>
    <w:rsid w:val="005733D7"/>
    <w:rsid w:val="00574714"/>
    <w:rsid w:val="00574C81"/>
    <w:rsid w:val="005804BF"/>
    <w:rsid w:val="0058128B"/>
    <w:rsid w:val="00583B1B"/>
    <w:rsid w:val="0058682C"/>
    <w:rsid w:val="00587365"/>
    <w:rsid w:val="00587A75"/>
    <w:rsid w:val="00592898"/>
    <w:rsid w:val="00594760"/>
    <w:rsid w:val="005A2ADD"/>
    <w:rsid w:val="005A2E17"/>
    <w:rsid w:val="005A5634"/>
    <w:rsid w:val="005B376F"/>
    <w:rsid w:val="005B56A4"/>
    <w:rsid w:val="005B5E34"/>
    <w:rsid w:val="005C0379"/>
    <w:rsid w:val="005C3342"/>
    <w:rsid w:val="005C43A4"/>
    <w:rsid w:val="005C7B9F"/>
    <w:rsid w:val="005D1479"/>
    <w:rsid w:val="005D7A30"/>
    <w:rsid w:val="005E0842"/>
    <w:rsid w:val="005E0FF3"/>
    <w:rsid w:val="005E3709"/>
    <w:rsid w:val="005E44C1"/>
    <w:rsid w:val="005E4DC2"/>
    <w:rsid w:val="005E7FC1"/>
    <w:rsid w:val="005F2E29"/>
    <w:rsid w:val="005F486E"/>
    <w:rsid w:val="005F50BD"/>
    <w:rsid w:val="005F592F"/>
    <w:rsid w:val="00605F97"/>
    <w:rsid w:val="00610A28"/>
    <w:rsid w:val="00611A69"/>
    <w:rsid w:val="00611ED3"/>
    <w:rsid w:val="0061520A"/>
    <w:rsid w:val="00615A2E"/>
    <w:rsid w:val="00617644"/>
    <w:rsid w:val="00620F6F"/>
    <w:rsid w:val="00622940"/>
    <w:rsid w:val="00625AB7"/>
    <w:rsid w:val="0062766D"/>
    <w:rsid w:val="00630F60"/>
    <w:rsid w:val="0063336A"/>
    <w:rsid w:val="00635EE6"/>
    <w:rsid w:val="00637875"/>
    <w:rsid w:val="00637D16"/>
    <w:rsid w:val="00642BEF"/>
    <w:rsid w:val="006464A5"/>
    <w:rsid w:val="006466AD"/>
    <w:rsid w:val="006474E4"/>
    <w:rsid w:val="0065044A"/>
    <w:rsid w:val="0065124B"/>
    <w:rsid w:val="00652828"/>
    <w:rsid w:val="006537DD"/>
    <w:rsid w:val="006544DE"/>
    <w:rsid w:val="00655D45"/>
    <w:rsid w:val="00670761"/>
    <w:rsid w:val="00671CD2"/>
    <w:rsid w:val="00674724"/>
    <w:rsid w:val="00674CAB"/>
    <w:rsid w:val="006750E6"/>
    <w:rsid w:val="006751A7"/>
    <w:rsid w:val="00675698"/>
    <w:rsid w:val="00676D73"/>
    <w:rsid w:val="006800D7"/>
    <w:rsid w:val="00682BEF"/>
    <w:rsid w:val="0068578C"/>
    <w:rsid w:val="00685BB5"/>
    <w:rsid w:val="00685E8E"/>
    <w:rsid w:val="006870EB"/>
    <w:rsid w:val="00691367"/>
    <w:rsid w:val="006914E1"/>
    <w:rsid w:val="00691BCD"/>
    <w:rsid w:val="00691E8B"/>
    <w:rsid w:val="00692154"/>
    <w:rsid w:val="00694CB0"/>
    <w:rsid w:val="00694D2D"/>
    <w:rsid w:val="00695A09"/>
    <w:rsid w:val="006A004E"/>
    <w:rsid w:val="006A1847"/>
    <w:rsid w:val="006A3CBA"/>
    <w:rsid w:val="006A4774"/>
    <w:rsid w:val="006A7F6B"/>
    <w:rsid w:val="006B4DFC"/>
    <w:rsid w:val="006B58E6"/>
    <w:rsid w:val="006B76B5"/>
    <w:rsid w:val="006C0038"/>
    <w:rsid w:val="006C0C0F"/>
    <w:rsid w:val="006C1D34"/>
    <w:rsid w:val="006C527F"/>
    <w:rsid w:val="006C52B1"/>
    <w:rsid w:val="006C6CE2"/>
    <w:rsid w:val="006D09D4"/>
    <w:rsid w:val="006D2A71"/>
    <w:rsid w:val="006D4347"/>
    <w:rsid w:val="006E2454"/>
    <w:rsid w:val="006F01E1"/>
    <w:rsid w:val="006F1E93"/>
    <w:rsid w:val="006F2DCA"/>
    <w:rsid w:val="006F43E1"/>
    <w:rsid w:val="006F53EA"/>
    <w:rsid w:val="00700BCD"/>
    <w:rsid w:val="007027D7"/>
    <w:rsid w:val="00704DEE"/>
    <w:rsid w:val="007058BB"/>
    <w:rsid w:val="00706E56"/>
    <w:rsid w:val="00710602"/>
    <w:rsid w:val="00710F00"/>
    <w:rsid w:val="0071543A"/>
    <w:rsid w:val="00715592"/>
    <w:rsid w:val="00716A45"/>
    <w:rsid w:val="00716F79"/>
    <w:rsid w:val="00722E27"/>
    <w:rsid w:val="0072446B"/>
    <w:rsid w:val="00730FE5"/>
    <w:rsid w:val="007327CD"/>
    <w:rsid w:val="00733A3E"/>
    <w:rsid w:val="00735C38"/>
    <w:rsid w:val="00735C42"/>
    <w:rsid w:val="00736102"/>
    <w:rsid w:val="00737712"/>
    <w:rsid w:val="00737BA2"/>
    <w:rsid w:val="007413E9"/>
    <w:rsid w:val="00742AD9"/>
    <w:rsid w:val="007447F6"/>
    <w:rsid w:val="00744836"/>
    <w:rsid w:val="00744B44"/>
    <w:rsid w:val="00753182"/>
    <w:rsid w:val="007539E3"/>
    <w:rsid w:val="0075469D"/>
    <w:rsid w:val="00754E83"/>
    <w:rsid w:val="007621BD"/>
    <w:rsid w:val="007626E5"/>
    <w:rsid w:val="00762984"/>
    <w:rsid w:val="007711D9"/>
    <w:rsid w:val="00771568"/>
    <w:rsid w:val="00774961"/>
    <w:rsid w:val="007752B8"/>
    <w:rsid w:val="00776575"/>
    <w:rsid w:val="007765C2"/>
    <w:rsid w:val="00783ED1"/>
    <w:rsid w:val="00784F02"/>
    <w:rsid w:val="00790C25"/>
    <w:rsid w:val="007915B7"/>
    <w:rsid w:val="0079307D"/>
    <w:rsid w:val="00796F32"/>
    <w:rsid w:val="00796F60"/>
    <w:rsid w:val="00797D62"/>
    <w:rsid w:val="007A075E"/>
    <w:rsid w:val="007A1ECB"/>
    <w:rsid w:val="007A2C14"/>
    <w:rsid w:val="007A67F2"/>
    <w:rsid w:val="007A780C"/>
    <w:rsid w:val="007A78BC"/>
    <w:rsid w:val="007B2F81"/>
    <w:rsid w:val="007B57F4"/>
    <w:rsid w:val="007C035D"/>
    <w:rsid w:val="007C14DD"/>
    <w:rsid w:val="007C33B0"/>
    <w:rsid w:val="007C372A"/>
    <w:rsid w:val="007C4A9E"/>
    <w:rsid w:val="007D1013"/>
    <w:rsid w:val="007D143E"/>
    <w:rsid w:val="007D38EE"/>
    <w:rsid w:val="007D7452"/>
    <w:rsid w:val="007D75E2"/>
    <w:rsid w:val="007E1198"/>
    <w:rsid w:val="007E5E21"/>
    <w:rsid w:val="007E6139"/>
    <w:rsid w:val="007E6BF6"/>
    <w:rsid w:val="007F08CE"/>
    <w:rsid w:val="007F2D28"/>
    <w:rsid w:val="007F375A"/>
    <w:rsid w:val="007F3E07"/>
    <w:rsid w:val="007F5C5C"/>
    <w:rsid w:val="007F73F8"/>
    <w:rsid w:val="00801BD1"/>
    <w:rsid w:val="008029B3"/>
    <w:rsid w:val="00806DD9"/>
    <w:rsid w:val="00807059"/>
    <w:rsid w:val="00807A29"/>
    <w:rsid w:val="00810668"/>
    <w:rsid w:val="0081183F"/>
    <w:rsid w:val="00811906"/>
    <w:rsid w:val="00811E3C"/>
    <w:rsid w:val="008131A4"/>
    <w:rsid w:val="008145F9"/>
    <w:rsid w:val="00816F3A"/>
    <w:rsid w:val="00821140"/>
    <w:rsid w:val="00825F5A"/>
    <w:rsid w:val="008261FD"/>
    <w:rsid w:val="00827964"/>
    <w:rsid w:val="00827BD3"/>
    <w:rsid w:val="00827C22"/>
    <w:rsid w:val="0083085E"/>
    <w:rsid w:val="008310D4"/>
    <w:rsid w:val="00832B41"/>
    <w:rsid w:val="00835F5A"/>
    <w:rsid w:val="0084130E"/>
    <w:rsid w:val="00843331"/>
    <w:rsid w:val="00843FF1"/>
    <w:rsid w:val="00845F32"/>
    <w:rsid w:val="008465ED"/>
    <w:rsid w:val="00846F8E"/>
    <w:rsid w:val="0084707A"/>
    <w:rsid w:val="008502D1"/>
    <w:rsid w:val="0085195B"/>
    <w:rsid w:val="00853C7E"/>
    <w:rsid w:val="00853FB5"/>
    <w:rsid w:val="00855746"/>
    <w:rsid w:val="00866164"/>
    <w:rsid w:val="00867582"/>
    <w:rsid w:val="00870F84"/>
    <w:rsid w:val="00873C14"/>
    <w:rsid w:val="0087670D"/>
    <w:rsid w:val="00882688"/>
    <w:rsid w:val="00882B4C"/>
    <w:rsid w:val="00884BDA"/>
    <w:rsid w:val="00885190"/>
    <w:rsid w:val="0088577C"/>
    <w:rsid w:val="00885C3F"/>
    <w:rsid w:val="008876F8"/>
    <w:rsid w:val="0089261B"/>
    <w:rsid w:val="00895BB1"/>
    <w:rsid w:val="00896295"/>
    <w:rsid w:val="008A020D"/>
    <w:rsid w:val="008A08A4"/>
    <w:rsid w:val="008A635E"/>
    <w:rsid w:val="008A6896"/>
    <w:rsid w:val="008A6B52"/>
    <w:rsid w:val="008B1B45"/>
    <w:rsid w:val="008B3F1E"/>
    <w:rsid w:val="008B55C3"/>
    <w:rsid w:val="008B5C46"/>
    <w:rsid w:val="008B6764"/>
    <w:rsid w:val="008B6945"/>
    <w:rsid w:val="008C1781"/>
    <w:rsid w:val="008C74EB"/>
    <w:rsid w:val="008C7AD2"/>
    <w:rsid w:val="008D03CD"/>
    <w:rsid w:val="008D088C"/>
    <w:rsid w:val="008D08DD"/>
    <w:rsid w:val="008D1B80"/>
    <w:rsid w:val="008D30A4"/>
    <w:rsid w:val="008D4CB5"/>
    <w:rsid w:val="008D6ABE"/>
    <w:rsid w:val="008D7366"/>
    <w:rsid w:val="008E435D"/>
    <w:rsid w:val="008E505A"/>
    <w:rsid w:val="008E5849"/>
    <w:rsid w:val="008E6DA6"/>
    <w:rsid w:val="008F57F2"/>
    <w:rsid w:val="009002C1"/>
    <w:rsid w:val="00901397"/>
    <w:rsid w:val="009024ED"/>
    <w:rsid w:val="009040B4"/>
    <w:rsid w:val="00904236"/>
    <w:rsid w:val="00915AAE"/>
    <w:rsid w:val="00927954"/>
    <w:rsid w:val="0093316B"/>
    <w:rsid w:val="00934ADF"/>
    <w:rsid w:val="00935CA3"/>
    <w:rsid w:val="0093631A"/>
    <w:rsid w:val="00937631"/>
    <w:rsid w:val="009432E1"/>
    <w:rsid w:val="00943351"/>
    <w:rsid w:val="00952046"/>
    <w:rsid w:val="00954B0C"/>
    <w:rsid w:val="0095543B"/>
    <w:rsid w:val="00956B0B"/>
    <w:rsid w:val="00960C65"/>
    <w:rsid w:val="009618D5"/>
    <w:rsid w:val="00962FE6"/>
    <w:rsid w:val="00963367"/>
    <w:rsid w:val="00963634"/>
    <w:rsid w:val="009641FB"/>
    <w:rsid w:val="00964686"/>
    <w:rsid w:val="00964943"/>
    <w:rsid w:val="00966F32"/>
    <w:rsid w:val="00967603"/>
    <w:rsid w:val="00970C49"/>
    <w:rsid w:val="00973978"/>
    <w:rsid w:val="00974FF8"/>
    <w:rsid w:val="009802AA"/>
    <w:rsid w:val="00980FCA"/>
    <w:rsid w:val="00984930"/>
    <w:rsid w:val="00990BE6"/>
    <w:rsid w:val="009929F3"/>
    <w:rsid w:val="0099532B"/>
    <w:rsid w:val="00995A00"/>
    <w:rsid w:val="00996024"/>
    <w:rsid w:val="00996195"/>
    <w:rsid w:val="00996293"/>
    <w:rsid w:val="00996CB8"/>
    <w:rsid w:val="00996E32"/>
    <w:rsid w:val="0099758A"/>
    <w:rsid w:val="00997C1C"/>
    <w:rsid w:val="009A014E"/>
    <w:rsid w:val="009A0D83"/>
    <w:rsid w:val="009A155F"/>
    <w:rsid w:val="009A16C7"/>
    <w:rsid w:val="009A28F9"/>
    <w:rsid w:val="009B4897"/>
    <w:rsid w:val="009B65B5"/>
    <w:rsid w:val="009C1FAC"/>
    <w:rsid w:val="009C43A9"/>
    <w:rsid w:val="009D4145"/>
    <w:rsid w:val="009D491A"/>
    <w:rsid w:val="009D4C32"/>
    <w:rsid w:val="009D569C"/>
    <w:rsid w:val="009D5B64"/>
    <w:rsid w:val="009D5D62"/>
    <w:rsid w:val="009D6099"/>
    <w:rsid w:val="009D6E3E"/>
    <w:rsid w:val="009E0422"/>
    <w:rsid w:val="009E1150"/>
    <w:rsid w:val="009E57AE"/>
    <w:rsid w:val="009F5F47"/>
    <w:rsid w:val="009F75BC"/>
    <w:rsid w:val="009F7E3B"/>
    <w:rsid w:val="00A00B12"/>
    <w:rsid w:val="00A00FD6"/>
    <w:rsid w:val="00A011D1"/>
    <w:rsid w:val="00A01A7D"/>
    <w:rsid w:val="00A02642"/>
    <w:rsid w:val="00A033CD"/>
    <w:rsid w:val="00A04D33"/>
    <w:rsid w:val="00A068BE"/>
    <w:rsid w:val="00A10747"/>
    <w:rsid w:val="00A11A33"/>
    <w:rsid w:val="00A11A47"/>
    <w:rsid w:val="00A130AF"/>
    <w:rsid w:val="00A13B57"/>
    <w:rsid w:val="00A15704"/>
    <w:rsid w:val="00A17369"/>
    <w:rsid w:val="00A178C9"/>
    <w:rsid w:val="00A2150A"/>
    <w:rsid w:val="00A24EC3"/>
    <w:rsid w:val="00A25E93"/>
    <w:rsid w:val="00A31A74"/>
    <w:rsid w:val="00A31A7D"/>
    <w:rsid w:val="00A32E00"/>
    <w:rsid w:val="00A351FF"/>
    <w:rsid w:val="00A35302"/>
    <w:rsid w:val="00A35C66"/>
    <w:rsid w:val="00A37386"/>
    <w:rsid w:val="00A4585C"/>
    <w:rsid w:val="00A460E8"/>
    <w:rsid w:val="00A46BCF"/>
    <w:rsid w:val="00A471AF"/>
    <w:rsid w:val="00A47244"/>
    <w:rsid w:val="00A50445"/>
    <w:rsid w:val="00A505D0"/>
    <w:rsid w:val="00A513A1"/>
    <w:rsid w:val="00A53E27"/>
    <w:rsid w:val="00A548E6"/>
    <w:rsid w:val="00A55813"/>
    <w:rsid w:val="00A56D65"/>
    <w:rsid w:val="00A575C7"/>
    <w:rsid w:val="00A579C4"/>
    <w:rsid w:val="00A619F4"/>
    <w:rsid w:val="00A6295E"/>
    <w:rsid w:val="00A72B9B"/>
    <w:rsid w:val="00A74122"/>
    <w:rsid w:val="00A7513E"/>
    <w:rsid w:val="00A76312"/>
    <w:rsid w:val="00A81A25"/>
    <w:rsid w:val="00A8272E"/>
    <w:rsid w:val="00A833A4"/>
    <w:rsid w:val="00A86A01"/>
    <w:rsid w:val="00A9135B"/>
    <w:rsid w:val="00A9159C"/>
    <w:rsid w:val="00A949EF"/>
    <w:rsid w:val="00A9569C"/>
    <w:rsid w:val="00A9627F"/>
    <w:rsid w:val="00A966C1"/>
    <w:rsid w:val="00A96C36"/>
    <w:rsid w:val="00AA1533"/>
    <w:rsid w:val="00AA2B62"/>
    <w:rsid w:val="00AA5DCF"/>
    <w:rsid w:val="00AA6567"/>
    <w:rsid w:val="00AA6F3D"/>
    <w:rsid w:val="00AA77A9"/>
    <w:rsid w:val="00AA780E"/>
    <w:rsid w:val="00AA7B81"/>
    <w:rsid w:val="00AB1244"/>
    <w:rsid w:val="00AB1954"/>
    <w:rsid w:val="00AB20F0"/>
    <w:rsid w:val="00AB369A"/>
    <w:rsid w:val="00AB3FA6"/>
    <w:rsid w:val="00AB3FFB"/>
    <w:rsid w:val="00AB59DE"/>
    <w:rsid w:val="00AC1087"/>
    <w:rsid w:val="00AC3F32"/>
    <w:rsid w:val="00AC42F4"/>
    <w:rsid w:val="00AC69A4"/>
    <w:rsid w:val="00AD0CB6"/>
    <w:rsid w:val="00AD11E9"/>
    <w:rsid w:val="00AD3C4B"/>
    <w:rsid w:val="00AE5746"/>
    <w:rsid w:val="00AE7286"/>
    <w:rsid w:val="00AE7F26"/>
    <w:rsid w:val="00AF0038"/>
    <w:rsid w:val="00AF1E49"/>
    <w:rsid w:val="00AF2138"/>
    <w:rsid w:val="00AF3A42"/>
    <w:rsid w:val="00AF48EF"/>
    <w:rsid w:val="00AF61CF"/>
    <w:rsid w:val="00B04F2B"/>
    <w:rsid w:val="00B057D7"/>
    <w:rsid w:val="00B05FE6"/>
    <w:rsid w:val="00B075E5"/>
    <w:rsid w:val="00B115EF"/>
    <w:rsid w:val="00B121A6"/>
    <w:rsid w:val="00B17190"/>
    <w:rsid w:val="00B20557"/>
    <w:rsid w:val="00B2097D"/>
    <w:rsid w:val="00B22D5E"/>
    <w:rsid w:val="00B23E82"/>
    <w:rsid w:val="00B252BB"/>
    <w:rsid w:val="00B27D40"/>
    <w:rsid w:val="00B27DE8"/>
    <w:rsid w:val="00B319B6"/>
    <w:rsid w:val="00B31E7F"/>
    <w:rsid w:val="00B3367B"/>
    <w:rsid w:val="00B3377D"/>
    <w:rsid w:val="00B351E0"/>
    <w:rsid w:val="00B35877"/>
    <w:rsid w:val="00B41A2E"/>
    <w:rsid w:val="00B473CC"/>
    <w:rsid w:val="00B478B4"/>
    <w:rsid w:val="00B5445A"/>
    <w:rsid w:val="00B54E81"/>
    <w:rsid w:val="00B55BC2"/>
    <w:rsid w:val="00B561F8"/>
    <w:rsid w:val="00B64060"/>
    <w:rsid w:val="00B675E9"/>
    <w:rsid w:val="00B6767C"/>
    <w:rsid w:val="00B67EE4"/>
    <w:rsid w:val="00B7229B"/>
    <w:rsid w:val="00B722D0"/>
    <w:rsid w:val="00B7230E"/>
    <w:rsid w:val="00B73C90"/>
    <w:rsid w:val="00B75617"/>
    <w:rsid w:val="00B76896"/>
    <w:rsid w:val="00B80AFE"/>
    <w:rsid w:val="00B82A50"/>
    <w:rsid w:val="00B8344A"/>
    <w:rsid w:val="00B83826"/>
    <w:rsid w:val="00B8427E"/>
    <w:rsid w:val="00B91167"/>
    <w:rsid w:val="00B96D02"/>
    <w:rsid w:val="00BA1680"/>
    <w:rsid w:val="00BA2862"/>
    <w:rsid w:val="00BB4F9C"/>
    <w:rsid w:val="00BB525C"/>
    <w:rsid w:val="00BB5C24"/>
    <w:rsid w:val="00BB7F22"/>
    <w:rsid w:val="00BC1681"/>
    <w:rsid w:val="00BC49E2"/>
    <w:rsid w:val="00BC7228"/>
    <w:rsid w:val="00BD305D"/>
    <w:rsid w:val="00BD3FB4"/>
    <w:rsid w:val="00BD4FCB"/>
    <w:rsid w:val="00BE1023"/>
    <w:rsid w:val="00BE14C7"/>
    <w:rsid w:val="00BE17B0"/>
    <w:rsid w:val="00BE192C"/>
    <w:rsid w:val="00BE1EFD"/>
    <w:rsid w:val="00BE5301"/>
    <w:rsid w:val="00BE7FCA"/>
    <w:rsid w:val="00BF0E9F"/>
    <w:rsid w:val="00BF1732"/>
    <w:rsid w:val="00BF603F"/>
    <w:rsid w:val="00BF6796"/>
    <w:rsid w:val="00C0086F"/>
    <w:rsid w:val="00C0099E"/>
    <w:rsid w:val="00C026E9"/>
    <w:rsid w:val="00C057FA"/>
    <w:rsid w:val="00C10A56"/>
    <w:rsid w:val="00C151B6"/>
    <w:rsid w:val="00C16C0B"/>
    <w:rsid w:val="00C22ABB"/>
    <w:rsid w:val="00C26A8D"/>
    <w:rsid w:val="00C26BA7"/>
    <w:rsid w:val="00C3426E"/>
    <w:rsid w:val="00C363E4"/>
    <w:rsid w:val="00C3764C"/>
    <w:rsid w:val="00C40E1C"/>
    <w:rsid w:val="00C41F55"/>
    <w:rsid w:val="00C42CB0"/>
    <w:rsid w:val="00C44B8B"/>
    <w:rsid w:val="00C5034C"/>
    <w:rsid w:val="00C51506"/>
    <w:rsid w:val="00C51ECB"/>
    <w:rsid w:val="00C53F04"/>
    <w:rsid w:val="00C601BF"/>
    <w:rsid w:val="00C62571"/>
    <w:rsid w:val="00C646B7"/>
    <w:rsid w:val="00C64B1B"/>
    <w:rsid w:val="00C6504A"/>
    <w:rsid w:val="00C65246"/>
    <w:rsid w:val="00C66C83"/>
    <w:rsid w:val="00C67492"/>
    <w:rsid w:val="00C74465"/>
    <w:rsid w:val="00C74C95"/>
    <w:rsid w:val="00C75F1A"/>
    <w:rsid w:val="00C76F28"/>
    <w:rsid w:val="00C76F4D"/>
    <w:rsid w:val="00C814CE"/>
    <w:rsid w:val="00C828C3"/>
    <w:rsid w:val="00C830E8"/>
    <w:rsid w:val="00C8343A"/>
    <w:rsid w:val="00C837C5"/>
    <w:rsid w:val="00C9169D"/>
    <w:rsid w:val="00C91DFE"/>
    <w:rsid w:val="00C922CA"/>
    <w:rsid w:val="00C92B03"/>
    <w:rsid w:val="00C95804"/>
    <w:rsid w:val="00C96340"/>
    <w:rsid w:val="00C9674A"/>
    <w:rsid w:val="00CA2F7B"/>
    <w:rsid w:val="00CA5043"/>
    <w:rsid w:val="00CB2268"/>
    <w:rsid w:val="00CB2E12"/>
    <w:rsid w:val="00CB3FDF"/>
    <w:rsid w:val="00CB4248"/>
    <w:rsid w:val="00CB488E"/>
    <w:rsid w:val="00CB4922"/>
    <w:rsid w:val="00CB65FD"/>
    <w:rsid w:val="00CB792D"/>
    <w:rsid w:val="00CC0661"/>
    <w:rsid w:val="00CC122C"/>
    <w:rsid w:val="00CC4F68"/>
    <w:rsid w:val="00CC55D0"/>
    <w:rsid w:val="00CC6793"/>
    <w:rsid w:val="00CD0718"/>
    <w:rsid w:val="00CD1590"/>
    <w:rsid w:val="00CD1700"/>
    <w:rsid w:val="00CD1D64"/>
    <w:rsid w:val="00CD1DD5"/>
    <w:rsid w:val="00CD3309"/>
    <w:rsid w:val="00CD3B1B"/>
    <w:rsid w:val="00CD3E9D"/>
    <w:rsid w:val="00CD656E"/>
    <w:rsid w:val="00CD7108"/>
    <w:rsid w:val="00CE0BA0"/>
    <w:rsid w:val="00CE1E82"/>
    <w:rsid w:val="00CE2CA6"/>
    <w:rsid w:val="00CE46C1"/>
    <w:rsid w:val="00CE6184"/>
    <w:rsid w:val="00CE6A1F"/>
    <w:rsid w:val="00CF1DA8"/>
    <w:rsid w:val="00CF2B76"/>
    <w:rsid w:val="00CF334E"/>
    <w:rsid w:val="00CF6478"/>
    <w:rsid w:val="00CF64D1"/>
    <w:rsid w:val="00D0145D"/>
    <w:rsid w:val="00D02E81"/>
    <w:rsid w:val="00D07802"/>
    <w:rsid w:val="00D16473"/>
    <w:rsid w:val="00D16E2C"/>
    <w:rsid w:val="00D16EF6"/>
    <w:rsid w:val="00D20E48"/>
    <w:rsid w:val="00D23B16"/>
    <w:rsid w:val="00D249CC"/>
    <w:rsid w:val="00D2606A"/>
    <w:rsid w:val="00D30169"/>
    <w:rsid w:val="00D341DB"/>
    <w:rsid w:val="00D424AF"/>
    <w:rsid w:val="00D5174F"/>
    <w:rsid w:val="00D526CC"/>
    <w:rsid w:val="00D52A07"/>
    <w:rsid w:val="00D55B7B"/>
    <w:rsid w:val="00D55BFB"/>
    <w:rsid w:val="00D5780A"/>
    <w:rsid w:val="00D61B92"/>
    <w:rsid w:val="00D6659F"/>
    <w:rsid w:val="00D66C91"/>
    <w:rsid w:val="00D74DAA"/>
    <w:rsid w:val="00D7683F"/>
    <w:rsid w:val="00D774A1"/>
    <w:rsid w:val="00D82CB0"/>
    <w:rsid w:val="00D8632D"/>
    <w:rsid w:val="00D90085"/>
    <w:rsid w:val="00D90AFB"/>
    <w:rsid w:val="00D9182E"/>
    <w:rsid w:val="00D92451"/>
    <w:rsid w:val="00D9575C"/>
    <w:rsid w:val="00D96158"/>
    <w:rsid w:val="00D96EFA"/>
    <w:rsid w:val="00D97B85"/>
    <w:rsid w:val="00DA12BB"/>
    <w:rsid w:val="00DA20F5"/>
    <w:rsid w:val="00DA29E2"/>
    <w:rsid w:val="00DA3AF7"/>
    <w:rsid w:val="00DA717A"/>
    <w:rsid w:val="00DB5326"/>
    <w:rsid w:val="00DB65F1"/>
    <w:rsid w:val="00DC050B"/>
    <w:rsid w:val="00DC1900"/>
    <w:rsid w:val="00DC4155"/>
    <w:rsid w:val="00DC5D03"/>
    <w:rsid w:val="00DC6172"/>
    <w:rsid w:val="00DD2688"/>
    <w:rsid w:val="00DD60B5"/>
    <w:rsid w:val="00DD6281"/>
    <w:rsid w:val="00DD7157"/>
    <w:rsid w:val="00DE2FB6"/>
    <w:rsid w:val="00DE3E34"/>
    <w:rsid w:val="00DE61ED"/>
    <w:rsid w:val="00DE62AF"/>
    <w:rsid w:val="00DE7851"/>
    <w:rsid w:val="00DF06D2"/>
    <w:rsid w:val="00DF2985"/>
    <w:rsid w:val="00DF3888"/>
    <w:rsid w:val="00DF3FCF"/>
    <w:rsid w:val="00DF52DC"/>
    <w:rsid w:val="00E01836"/>
    <w:rsid w:val="00E0188C"/>
    <w:rsid w:val="00E04917"/>
    <w:rsid w:val="00E056BA"/>
    <w:rsid w:val="00E05952"/>
    <w:rsid w:val="00E05A6B"/>
    <w:rsid w:val="00E1389A"/>
    <w:rsid w:val="00E147AC"/>
    <w:rsid w:val="00E15B19"/>
    <w:rsid w:val="00E15FA5"/>
    <w:rsid w:val="00E16640"/>
    <w:rsid w:val="00E21EA5"/>
    <w:rsid w:val="00E220E3"/>
    <w:rsid w:val="00E25199"/>
    <w:rsid w:val="00E25352"/>
    <w:rsid w:val="00E3130D"/>
    <w:rsid w:val="00E3268D"/>
    <w:rsid w:val="00E34F1C"/>
    <w:rsid w:val="00E35618"/>
    <w:rsid w:val="00E374D0"/>
    <w:rsid w:val="00E420DB"/>
    <w:rsid w:val="00E4218E"/>
    <w:rsid w:val="00E46B88"/>
    <w:rsid w:val="00E52BDF"/>
    <w:rsid w:val="00E52C50"/>
    <w:rsid w:val="00E55133"/>
    <w:rsid w:val="00E55A78"/>
    <w:rsid w:val="00E561B7"/>
    <w:rsid w:val="00E56C84"/>
    <w:rsid w:val="00E57949"/>
    <w:rsid w:val="00E62C76"/>
    <w:rsid w:val="00E6413C"/>
    <w:rsid w:val="00E643C5"/>
    <w:rsid w:val="00E65EEC"/>
    <w:rsid w:val="00E6768D"/>
    <w:rsid w:val="00E7011A"/>
    <w:rsid w:val="00E7144B"/>
    <w:rsid w:val="00E71734"/>
    <w:rsid w:val="00E72A02"/>
    <w:rsid w:val="00E7346E"/>
    <w:rsid w:val="00E73A5B"/>
    <w:rsid w:val="00E74CD1"/>
    <w:rsid w:val="00E7548A"/>
    <w:rsid w:val="00E75FFE"/>
    <w:rsid w:val="00E76ACC"/>
    <w:rsid w:val="00E81E6A"/>
    <w:rsid w:val="00E8552A"/>
    <w:rsid w:val="00E87462"/>
    <w:rsid w:val="00E92C5F"/>
    <w:rsid w:val="00E944D8"/>
    <w:rsid w:val="00E94C10"/>
    <w:rsid w:val="00E95C63"/>
    <w:rsid w:val="00E97DE6"/>
    <w:rsid w:val="00EA550E"/>
    <w:rsid w:val="00EA5A41"/>
    <w:rsid w:val="00EA5AD2"/>
    <w:rsid w:val="00EA63F4"/>
    <w:rsid w:val="00EA6750"/>
    <w:rsid w:val="00EA6C00"/>
    <w:rsid w:val="00EB0088"/>
    <w:rsid w:val="00EB2670"/>
    <w:rsid w:val="00EB2A87"/>
    <w:rsid w:val="00EB2CF1"/>
    <w:rsid w:val="00EB4BC8"/>
    <w:rsid w:val="00EB5665"/>
    <w:rsid w:val="00EB64D5"/>
    <w:rsid w:val="00EB7D9A"/>
    <w:rsid w:val="00EC28E4"/>
    <w:rsid w:val="00EC63FF"/>
    <w:rsid w:val="00EC6AB3"/>
    <w:rsid w:val="00ED4D5C"/>
    <w:rsid w:val="00EE2981"/>
    <w:rsid w:val="00EE555D"/>
    <w:rsid w:val="00EE6513"/>
    <w:rsid w:val="00EE71D5"/>
    <w:rsid w:val="00EF0785"/>
    <w:rsid w:val="00EF2994"/>
    <w:rsid w:val="00EF5C63"/>
    <w:rsid w:val="00EF6B81"/>
    <w:rsid w:val="00F0599A"/>
    <w:rsid w:val="00F13090"/>
    <w:rsid w:val="00F15E52"/>
    <w:rsid w:val="00F17A6B"/>
    <w:rsid w:val="00F2049D"/>
    <w:rsid w:val="00F20644"/>
    <w:rsid w:val="00F222BA"/>
    <w:rsid w:val="00F22484"/>
    <w:rsid w:val="00F22530"/>
    <w:rsid w:val="00F251ED"/>
    <w:rsid w:val="00F25D5D"/>
    <w:rsid w:val="00F269CF"/>
    <w:rsid w:val="00F277A8"/>
    <w:rsid w:val="00F33925"/>
    <w:rsid w:val="00F33E27"/>
    <w:rsid w:val="00F355EB"/>
    <w:rsid w:val="00F40A92"/>
    <w:rsid w:val="00F418C3"/>
    <w:rsid w:val="00F46F78"/>
    <w:rsid w:val="00F50C48"/>
    <w:rsid w:val="00F53CD0"/>
    <w:rsid w:val="00F57DEA"/>
    <w:rsid w:val="00F6467C"/>
    <w:rsid w:val="00F669D7"/>
    <w:rsid w:val="00F67DA2"/>
    <w:rsid w:val="00F67F63"/>
    <w:rsid w:val="00F71EF5"/>
    <w:rsid w:val="00F75E4D"/>
    <w:rsid w:val="00F824D5"/>
    <w:rsid w:val="00F84363"/>
    <w:rsid w:val="00F87CFC"/>
    <w:rsid w:val="00F90D97"/>
    <w:rsid w:val="00F951E7"/>
    <w:rsid w:val="00F95314"/>
    <w:rsid w:val="00FA04B1"/>
    <w:rsid w:val="00FA1823"/>
    <w:rsid w:val="00FA333C"/>
    <w:rsid w:val="00FA3415"/>
    <w:rsid w:val="00FA4718"/>
    <w:rsid w:val="00FA70B7"/>
    <w:rsid w:val="00FA790F"/>
    <w:rsid w:val="00FB51DB"/>
    <w:rsid w:val="00FB5258"/>
    <w:rsid w:val="00FB6CE9"/>
    <w:rsid w:val="00FC3F9E"/>
    <w:rsid w:val="00FC6A5E"/>
    <w:rsid w:val="00FD0877"/>
    <w:rsid w:val="00FD1C53"/>
    <w:rsid w:val="00FD24C0"/>
    <w:rsid w:val="00FD6132"/>
    <w:rsid w:val="00FE41E4"/>
    <w:rsid w:val="00FE4B92"/>
    <w:rsid w:val="00FE59C7"/>
    <w:rsid w:val="00FE61E4"/>
    <w:rsid w:val="00FF0BCB"/>
    <w:rsid w:val="00FF3326"/>
    <w:rsid w:val="00FF33A6"/>
    <w:rsid w:val="00FF4E10"/>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9B74"/>
  <w15:chartTrackingRefBased/>
  <w15:docId w15:val="{8ADB8794-686D-4DA3-BAAD-FF4A4B9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A4"/>
    <w:rPr>
      <w:sz w:val="24"/>
      <w:szCs w:val="24"/>
    </w:rPr>
  </w:style>
  <w:style w:type="paragraph" w:styleId="Heading1">
    <w:name w:val="heading 1"/>
    <w:basedOn w:val="Normal"/>
    <w:next w:val="Normal"/>
    <w:link w:val="Heading1Char"/>
    <w:qFormat/>
    <w:locked/>
    <w:rsid w:val="0047799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BB525C"/>
    <w:rPr>
      <w:rFonts w:cs="Times New Roman"/>
    </w:rPr>
  </w:style>
  <w:style w:type="character" w:styleId="CommentReference">
    <w:name w:val="annotation reference"/>
    <w:semiHidden/>
    <w:rsid w:val="00420C6B"/>
    <w:rPr>
      <w:rFonts w:cs="Times New Roman"/>
      <w:sz w:val="16"/>
      <w:szCs w:val="16"/>
    </w:rPr>
  </w:style>
  <w:style w:type="paragraph" w:styleId="CommentText">
    <w:name w:val="annotation text"/>
    <w:basedOn w:val="Normal"/>
    <w:link w:val="CommentTextChar"/>
    <w:semiHidden/>
    <w:rsid w:val="00420C6B"/>
    <w:rPr>
      <w:sz w:val="20"/>
      <w:szCs w:val="20"/>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420C6B"/>
    <w:rPr>
      <w:b/>
      <w:bCs/>
    </w:rPr>
  </w:style>
  <w:style w:type="character" w:customStyle="1" w:styleId="CommentSubjectChar">
    <w:name w:val="Comment Subject Char"/>
    <w:link w:val="CommentSubject"/>
    <w:semiHidden/>
    <w:locked/>
    <w:rPr>
      <w:rFonts w:cs="Times New Roman"/>
      <w:b/>
      <w:bCs/>
    </w:rPr>
  </w:style>
  <w:style w:type="paragraph" w:styleId="BalloonText">
    <w:name w:val="Balloon Text"/>
    <w:basedOn w:val="Normal"/>
    <w:link w:val="BalloonTextChar"/>
    <w:semiHidden/>
    <w:rsid w:val="00420C6B"/>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Hyperlink">
    <w:name w:val="Hyperlink"/>
    <w:uiPriority w:val="99"/>
    <w:rsid w:val="005E3709"/>
    <w:rPr>
      <w:color w:val="0563C1"/>
      <w:u w:val="single"/>
    </w:rPr>
  </w:style>
  <w:style w:type="character" w:customStyle="1" w:styleId="UnresolvedMention">
    <w:name w:val="Unresolved Mention"/>
    <w:uiPriority w:val="99"/>
    <w:semiHidden/>
    <w:unhideWhenUsed/>
    <w:rsid w:val="005E3709"/>
    <w:rPr>
      <w:color w:val="808080"/>
      <w:shd w:val="clear" w:color="auto" w:fill="E6E6E6"/>
    </w:rPr>
  </w:style>
  <w:style w:type="paragraph" w:styleId="FootnoteText">
    <w:name w:val="footnote text"/>
    <w:basedOn w:val="Normal"/>
    <w:link w:val="FootnoteTextChar"/>
    <w:uiPriority w:val="99"/>
    <w:unhideWhenUsed/>
    <w:rsid w:val="00730FE5"/>
    <w:rPr>
      <w:rFonts w:ascii="Arial" w:eastAsia="Arial" w:hAnsi="Arial" w:cs="Arial"/>
      <w:sz w:val="20"/>
      <w:szCs w:val="20"/>
      <w:lang w:val="en"/>
    </w:rPr>
  </w:style>
  <w:style w:type="character" w:customStyle="1" w:styleId="FootnoteTextChar">
    <w:name w:val="Footnote Text Char"/>
    <w:link w:val="FootnoteText"/>
    <w:uiPriority w:val="99"/>
    <w:rsid w:val="00730FE5"/>
    <w:rPr>
      <w:rFonts w:ascii="Arial" w:eastAsia="Arial" w:hAnsi="Arial" w:cs="Arial"/>
      <w:lang w:val="en"/>
    </w:rPr>
  </w:style>
  <w:style w:type="character" w:styleId="FootnoteReference">
    <w:name w:val="footnote reference"/>
    <w:uiPriority w:val="99"/>
    <w:unhideWhenUsed/>
    <w:rsid w:val="00730FE5"/>
    <w:rPr>
      <w:vertAlign w:val="superscript"/>
    </w:rPr>
  </w:style>
  <w:style w:type="character" w:customStyle="1" w:styleId="Heading1Char">
    <w:name w:val="Heading 1 Char"/>
    <w:link w:val="Heading1"/>
    <w:rsid w:val="00477997"/>
    <w:rPr>
      <w:rFonts w:ascii="Calibri Light" w:eastAsia="Times New Roman" w:hAnsi="Calibri Light" w:cs="Times New Roman"/>
      <w:b/>
      <w:bCs/>
      <w:kern w:val="32"/>
      <w:sz w:val="32"/>
      <w:szCs w:val="32"/>
    </w:rPr>
  </w:style>
  <w:style w:type="paragraph" w:styleId="Header">
    <w:name w:val="header"/>
    <w:basedOn w:val="Normal"/>
    <w:link w:val="HeaderChar"/>
    <w:rsid w:val="00A130AF"/>
    <w:pPr>
      <w:tabs>
        <w:tab w:val="center" w:pos="4680"/>
        <w:tab w:val="right" w:pos="9360"/>
      </w:tabs>
    </w:pPr>
  </w:style>
  <w:style w:type="character" w:customStyle="1" w:styleId="HeaderChar">
    <w:name w:val="Header Char"/>
    <w:link w:val="Header"/>
    <w:rsid w:val="00A130AF"/>
    <w:rPr>
      <w:sz w:val="24"/>
      <w:szCs w:val="24"/>
    </w:rPr>
  </w:style>
  <w:style w:type="paragraph" w:styleId="Footer">
    <w:name w:val="footer"/>
    <w:basedOn w:val="Normal"/>
    <w:link w:val="FooterChar"/>
    <w:uiPriority w:val="99"/>
    <w:rsid w:val="00A130AF"/>
    <w:pPr>
      <w:tabs>
        <w:tab w:val="center" w:pos="4680"/>
        <w:tab w:val="right" w:pos="9360"/>
      </w:tabs>
    </w:pPr>
  </w:style>
  <w:style w:type="character" w:customStyle="1" w:styleId="FooterChar">
    <w:name w:val="Footer Char"/>
    <w:link w:val="Footer"/>
    <w:uiPriority w:val="99"/>
    <w:rsid w:val="00A130AF"/>
    <w:rPr>
      <w:sz w:val="24"/>
      <w:szCs w:val="24"/>
    </w:rPr>
  </w:style>
  <w:style w:type="character" w:styleId="FollowedHyperlink">
    <w:name w:val="FollowedHyperlink"/>
    <w:basedOn w:val="DefaultParagraphFont"/>
    <w:rsid w:val="009A155F"/>
    <w:rPr>
      <w:color w:val="954F72" w:themeColor="followedHyperlink"/>
      <w:u w:val="single"/>
    </w:rPr>
  </w:style>
  <w:style w:type="paragraph" w:styleId="NormalWeb">
    <w:name w:val="Normal (Web)"/>
    <w:basedOn w:val="Normal"/>
    <w:uiPriority w:val="99"/>
    <w:rsid w:val="00A8272E"/>
  </w:style>
  <w:style w:type="paragraph" w:styleId="ListParagraph">
    <w:name w:val="List Paragraph"/>
    <w:basedOn w:val="Normal"/>
    <w:uiPriority w:val="34"/>
    <w:qFormat/>
    <w:rsid w:val="00A4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159">
      <w:bodyDiv w:val="1"/>
      <w:marLeft w:val="0"/>
      <w:marRight w:val="0"/>
      <w:marTop w:val="0"/>
      <w:marBottom w:val="0"/>
      <w:divBdr>
        <w:top w:val="none" w:sz="0" w:space="0" w:color="auto"/>
        <w:left w:val="none" w:sz="0" w:space="0" w:color="auto"/>
        <w:bottom w:val="none" w:sz="0" w:space="0" w:color="auto"/>
        <w:right w:val="none" w:sz="0" w:space="0" w:color="auto"/>
      </w:divBdr>
    </w:div>
    <w:div w:id="82606385">
      <w:bodyDiv w:val="1"/>
      <w:marLeft w:val="0"/>
      <w:marRight w:val="0"/>
      <w:marTop w:val="0"/>
      <w:marBottom w:val="0"/>
      <w:divBdr>
        <w:top w:val="none" w:sz="0" w:space="0" w:color="auto"/>
        <w:left w:val="none" w:sz="0" w:space="0" w:color="auto"/>
        <w:bottom w:val="none" w:sz="0" w:space="0" w:color="auto"/>
        <w:right w:val="none" w:sz="0" w:space="0" w:color="auto"/>
      </w:divBdr>
    </w:div>
    <w:div w:id="286475761">
      <w:bodyDiv w:val="1"/>
      <w:marLeft w:val="0"/>
      <w:marRight w:val="0"/>
      <w:marTop w:val="0"/>
      <w:marBottom w:val="0"/>
      <w:divBdr>
        <w:top w:val="none" w:sz="0" w:space="0" w:color="auto"/>
        <w:left w:val="none" w:sz="0" w:space="0" w:color="auto"/>
        <w:bottom w:val="none" w:sz="0" w:space="0" w:color="auto"/>
        <w:right w:val="none" w:sz="0" w:space="0" w:color="auto"/>
      </w:divBdr>
    </w:div>
    <w:div w:id="521477564">
      <w:bodyDiv w:val="1"/>
      <w:marLeft w:val="0"/>
      <w:marRight w:val="0"/>
      <w:marTop w:val="0"/>
      <w:marBottom w:val="0"/>
      <w:divBdr>
        <w:top w:val="none" w:sz="0" w:space="0" w:color="auto"/>
        <w:left w:val="none" w:sz="0" w:space="0" w:color="auto"/>
        <w:bottom w:val="none" w:sz="0" w:space="0" w:color="auto"/>
        <w:right w:val="none" w:sz="0" w:space="0" w:color="auto"/>
      </w:divBdr>
    </w:div>
    <w:div w:id="522747574">
      <w:bodyDiv w:val="1"/>
      <w:marLeft w:val="0"/>
      <w:marRight w:val="0"/>
      <w:marTop w:val="0"/>
      <w:marBottom w:val="0"/>
      <w:divBdr>
        <w:top w:val="none" w:sz="0" w:space="0" w:color="auto"/>
        <w:left w:val="none" w:sz="0" w:space="0" w:color="auto"/>
        <w:bottom w:val="none" w:sz="0" w:space="0" w:color="auto"/>
        <w:right w:val="none" w:sz="0" w:space="0" w:color="auto"/>
      </w:divBdr>
    </w:div>
    <w:div w:id="545487868">
      <w:bodyDiv w:val="1"/>
      <w:marLeft w:val="0"/>
      <w:marRight w:val="0"/>
      <w:marTop w:val="0"/>
      <w:marBottom w:val="0"/>
      <w:divBdr>
        <w:top w:val="none" w:sz="0" w:space="0" w:color="auto"/>
        <w:left w:val="none" w:sz="0" w:space="0" w:color="auto"/>
        <w:bottom w:val="none" w:sz="0" w:space="0" w:color="auto"/>
        <w:right w:val="none" w:sz="0" w:space="0" w:color="auto"/>
      </w:divBdr>
    </w:div>
    <w:div w:id="845902672">
      <w:bodyDiv w:val="1"/>
      <w:marLeft w:val="0"/>
      <w:marRight w:val="0"/>
      <w:marTop w:val="0"/>
      <w:marBottom w:val="0"/>
      <w:divBdr>
        <w:top w:val="none" w:sz="0" w:space="0" w:color="auto"/>
        <w:left w:val="none" w:sz="0" w:space="0" w:color="auto"/>
        <w:bottom w:val="none" w:sz="0" w:space="0" w:color="auto"/>
        <w:right w:val="none" w:sz="0" w:space="0" w:color="auto"/>
      </w:divBdr>
    </w:div>
    <w:div w:id="849485265">
      <w:bodyDiv w:val="1"/>
      <w:marLeft w:val="0"/>
      <w:marRight w:val="0"/>
      <w:marTop w:val="0"/>
      <w:marBottom w:val="0"/>
      <w:divBdr>
        <w:top w:val="none" w:sz="0" w:space="0" w:color="auto"/>
        <w:left w:val="none" w:sz="0" w:space="0" w:color="auto"/>
        <w:bottom w:val="none" w:sz="0" w:space="0" w:color="auto"/>
        <w:right w:val="none" w:sz="0" w:space="0" w:color="auto"/>
      </w:divBdr>
    </w:div>
    <w:div w:id="879631729">
      <w:bodyDiv w:val="1"/>
      <w:marLeft w:val="0"/>
      <w:marRight w:val="0"/>
      <w:marTop w:val="0"/>
      <w:marBottom w:val="0"/>
      <w:divBdr>
        <w:top w:val="none" w:sz="0" w:space="0" w:color="auto"/>
        <w:left w:val="none" w:sz="0" w:space="0" w:color="auto"/>
        <w:bottom w:val="none" w:sz="0" w:space="0" w:color="auto"/>
        <w:right w:val="none" w:sz="0" w:space="0" w:color="auto"/>
      </w:divBdr>
    </w:div>
    <w:div w:id="893588351">
      <w:bodyDiv w:val="1"/>
      <w:marLeft w:val="0"/>
      <w:marRight w:val="0"/>
      <w:marTop w:val="0"/>
      <w:marBottom w:val="0"/>
      <w:divBdr>
        <w:top w:val="none" w:sz="0" w:space="0" w:color="auto"/>
        <w:left w:val="none" w:sz="0" w:space="0" w:color="auto"/>
        <w:bottom w:val="none" w:sz="0" w:space="0" w:color="auto"/>
        <w:right w:val="none" w:sz="0" w:space="0" w:color="auto"/>
      </w:divBdr>
    </w:div>
    <w:div w:id="900990226">
      <w:bodyDiv w:val="1"/>
      <w:marLeft w:val="0"/>
      <w:marRight w:val="0"/>
      <w:marTop w:val="0"/>
      <w:marBottom w:val="0"/>
      <w:divBdr>
        <w:top w:val="none" w:sz="0" w:space="0" w:color="auto"/>
        <w:left w:val="none" w:sz="0" w:space="0" w:color="auto"/>
        <w:bottom w:val="none" w:sz="0" w:space="0" w:color="auto"/>
        <w:right w:val="none" w:sz="0" w:space="0" w:color="auto"/>
      </w:divBdr>
    </w:div>
    <w:div w:id="1006445084">
      <w:bodyDiv w:val="1"/>
      <w:marLeft w:val="0"/>
      <w:marRight w:val="0"/>
      <w:marTop w:val="0"/>
      <w:marBottom w:val="0"/>
      <w:divBdr>
        <w:top w:val="none" w:sz="0" w:space="0" w:color="auto"/>
        <w:left w:val="none" w:sz="0" w:space="0" w:color="auto"/>
        <w:bottom w:val="none" w:sz="0" w:space="0" w:color="auto"/>
        <w:right w:val="none" w:sz="0" w:space="0" w:color="auto"/>
      </w:divBdr>
    </w:div>
    <w:div w:id="1107773373">
      <w:bodyDiv w:val="1"/>
      <w:marLeft w:val="0"/>
      <w:marRight w:val="0"/>
      <w:marTop w:val="0"/>
      <w:marBottom w:val="0"/>
      <w:divBdr>
        <w:top w:val="none" w:sz="0" w:space="0" w:color="auto"/>
        <w:left w:val="none" w:sz="0" w:space="0" w:color="auto"/>
        <w:bottom w:val="none" w:sz="0" w:space="0" w:color="auto"/>
        <w:right w:val="none" w:sz="0" w:space="0" w:color="auto"/>
      </w:divBdr>
    </w:div>
    <w:div w:id="1118135691">
      <w:bodyDiv w:val="1"/>
      <w:marLeft w:val="0"/>
      <w:marRight w:val="0"/>
      <w:marTop w:val="0"/>
      <w:marBottom w:val="0"/>
      <w:divBdr>
        <w:top w:val="none" w:sz="0" w:space="0" w:color="auto"/>
        <w:left w:val="none" w:sz="0" w:space="0" w:color="auto"/>
        <w:bottom w:val="none" w:sz="0" w:space="0" w:color="auto"/>
        <w:right w:val="none" w:sz="0" w:space="0" w:color="auto"/>
      </w:divBdr>
    </w:div>
    <w:div w:id="1297226153">
      <w:bodyDiv w:val="1"/>
      <w:marLeft w:val="0"/>
      <w:marRight w:val="0"/>
      <w:marTop w:val="0"/>
      <w:marBottom w:val="0"/>
      <w:divBdr>
        <w:top w:val="none" w:sz="0" w:space="0" w:color="auto"/>
        <w:left w:val="none" w:sz="0" w:space="0" w:color="auto"/>
        <w:bottom w:val="none" w:sz="0" w:space="0" w:color="auto"/>
        <w:right w:val="none" w:sz="0" w:space="0" w:color="auto"/>
      </w:divBdr>
    </w:div>
    <w:div w:id="1309046032">
      <w:bodyDiv w:val="1"/>
      <w:marLeft w:val="0"/>
      <w:marRight w:val="0"/>
      <w:marTop w:val="0"/>
      <w:marBottom w:val="0"/>
      <w:divBdr>
        <w:top w:val="none" w:sz="0" w:space="0" w:color="auto"/>
        <w:left w:val="none" w:sz="0" w:space="0" w:color="auto"/>
        <w:bottom w:val="none" w:sz="0" w:space="0" w:color="auto"/>
        <w:right w:val="none" w:sz="0" w:space="0" w:color="auto"/>
      </w:divBdr>
    </w:div>
    <w:div w:id="1508593260">
      <w:bodyDiv w:val="1"/>
      <w:marLeft w:val="0"/>
      <w:marRight w:val="0"/>
      <w:marTop w:val="0"/>
      <w:marBottom w:val="0"/>
      <w:divBdr>
        <w:top w:val="none" w:sz="0" w:space="0" w:color="auto"/>
        <w:left w:val="none" w:sz="0" w:space="0" w:color="auto"/>
        <w:bottom w:val="none" w:sz="0" w:space="0" w:color="auto"/>
        <w:right w:val="none" w:sz="0" w:space="0" w:color="auto"/>
      </w:divBdr>
    </w:div>
    <w:div w:id="1573664778">
      <w:bodyDiv w:val="1"/>
      <w:marLeft w:val="0"/>
      <w:marRight w:val="0"/>
      <w:marTop w:val="0"/>
      <w:marBottom w:val="0"/>
      <w:divBdr>
        <w:top w:val="none" w:sz="0" w:space="0" w:color="auto"/>
        <w:left w:val="none" w:sz="0" w:space="0" w:color="auto"/>
        <w:bottom w:val="none" w:sz="0" w:space="0" w:color="auto"/>
        <w:right w:val="none" w:sz="0" w:space="0" w:color="auto"/>
      </w:divBdr>
    </w:div>
    <w:div w:id="1638025010">
      <w:bodyDiv w:val="1"/>
      <w:marLeft w:val="0"/>
      <w:marRight w:val="0"/>
      <w:marTop w:val="0"/>
      <w:marBottom w:val="0"/>
      <w:divBdr>
        <w:top w:val="none" w:sz="0" w:space="0" w:color="auto"/>
        <w:left w:val="none" w:sz="0" w:space="0" w:color="auto"/>
        <w:bottom w:val="none" w:sz="0" w:space="0" w:color="auto"/>
        <w:right w:val="none" w:sz="0" w:space="0" w:color="auto"/>
      </w:divBdr>
    </w:div>
    <w:div w:id="1721131238">
      <w:bodyDiv w:val="1"/>
      <w:marLeft w:val="0"/>
      <w:marRight w:val="0"/>
      <w:marTop w:val="0"/>
      <w:marBottom w:val="0"/>
      <w:divBdr>
        <w:top w:val="none" w:sz="0" w:space="0" w:color="auto"/>
        <w:left w:val="none" w:sz="0" w:space="0" w:color="auto"/>
        <w:bottom w:val="none" w:sz="0" w:space="0" w:color="auto"/>
        <w:right w:val="none" w:sz="0" w:space="0" w:color="auto"/>
      </w:divBdr>
    </w:div>
    <w:div w:id="1726640726">
      <w:bodyDiv w:val="1"/>
      <w:marLeft w:val="0"/>
      <w:marRight w:val="0"/>
      <w:marTop w:val="0"/>
      <w:marBottom w:val="0"/>
      <w:divBdr>
        <w:top w:val="none" w:sz="0" w:space="0" w:color="auto"/>
        <w:left w:val="none" w:sz="0" w:space="0" w:color="auto"/>
        <w:bottom w:val="none" w:sz="0" w:space="0" w:color="auto"/>
        <w:right w:val="none" w:sz="0" w:space="0" w:color="auto"/>
      </w:divBdr>
    </w:div>
    <w:div w:id="1736119840">
      <w:bodyDiv w:val="1"/>
      <w:marLeft w:val="0"/>
      <w:marRight w:val="0"/>
      <w:marTop w:val="0"/>
      <w:marBottom w:val="0"/>
      <w:divBdr>
        <w:top w:val="none" w:sz="0" w:space="0" w:color="auto"/>
        <w:left w:val="none" w:sz="0" w:space="0" w:color="auto"/>
        <w:bottom w:val="none" w:sz="0" w:space="0" w:color="auto"/>
        <w:right w:val="none" w:sz="0" w:space="0" w:color="auto"/>
      </w:divBdr>
    </w:div>
    <w:div w:id="1739013846">
      <w:bodyDiv w:val="1"/>
      <w:marLeft w:val="0"/>
      <w:marRight w:val="0"/>
      <w:marTop w:val="0"/>
      <w:marBottom w:val="0"/>
      <w:divBdr>
        <w:top w:val="none" w:sz="0" w:space="0" w:color="auto"/>
        <w:left w:val="none" w:sz="0" w:space="0" w:color="auto"/>
        <w:bottom w:val="none" w:sz="0" w:space="0" w:color="auto"/>
        <w:right w:val="none" w:sz="0" w:space="0" w:color="auto"/>
      </w:divBdr>
    </w:div>
    <w:div w:id="1905488241">
      <w:bodyDiv w:val="1"/>
      <w:marLeft w:val="0"/>
      <w:marRight w:val="0"/>
      <w:marTop w:val="0"/>
      <w:marBottom w:val="0"/>
      <w:divBdr>
        <w:top w:val="none" w:sz="0" w:space="0" w:color="auto"/>
        <w:left w:val="none" w:sz="0" w:space="0" w:color="auto"/>
        <w:bottom w:val="none" w:sz="0" w:space="0" w:color="auto"/>
        <w:right w:val="none" w:sz="0" w:space="0" w:color="auto"/>
      </w:divBdr>
    </w:div>
    <w:div w:id="1992978011">
      <w:bodyDiv w:val="1"/>
      <w:marLeft w:val="0"/>
      <w:marRight w:val="0"/>
      <w:marTop w:val="0"/>
      <w:marBottom w:val="0"/>
      <w:divBdr>
        <w:top w:val="none" w:sz="0" w:space="0" w:color="auto"/>
        <w:left w:val="none" w:sz="0" w:space="0" w:color="auto"/>
        <w:bottom w:val="none" w:sz="0" w:space="0" w:color="auto"/>
        <w:right w:val="none" w:sz="0" w:space="0" w:color="auto"/>
      </w:divBdr>
    </w:div>
    <w:div w:id="2028017272">
      <w:bodyDiv w:val="1"/>
      <w:marLeft w:val="0"/>
      <w:marRight w:val="0"/>
      <w:marTop w:val="0"/>
      <w:marBottom w:val="0"/>
      <w:divBdr>
        <w:top w:val="none" w:sz="0" w:space="0" w:color="auto"/>
        <w:left w:val="none" w:sz="0" w:space="0" w:color="auto"/>
        <w:bottom w:val="none" w:sz="0" w:space="0" w:color="auto"/>
        <w:right w:val="none" w:sz="0" w:space="0" w:color="auto"/>
      </w:divBdr>
    </w:div>
    <w:div w:id="21449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howard@wiley.la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howard@wiley.law"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phys.org/news/2013-02-cellphone-users-prepaid.html" TargetMode="External"/><Relationship Id="rId13" Type="http://schemas.openxmlformats.org/officeDocument/2006/relationships/hyperlink" Target="https://www.txcourts.gov/media/1446244/judicialbackground.jpg" TargetMode="External"/><Relationship Id="rId18" Type="http://schemas.openxmlformats.org/officeDocument/2006/relationships/hyperlink" Target="https://www.nccourts.gov/news/tag/press-release/chief-justice-beasley-forms-covid-19-task-force" TargetMode="External"/><Relationship Id="rId3" Type="http://schemas.openxmlformats.org/officeDocument/2006/relationships/hyperlink" Target="http://napco4courtleaders.org/wp-content/uploads/2016/08/Emerging-Court-Technologies-9-27-Bridenback.pdf" TargetMode="External"/><Relationship Id="rId21" Type="http://schemas.openxmlformats.org/officeDocument/2006/relationships/hyperlink" Target="https://www.judiciary.uk/announcements/rapid-consultation-the-impact-of-covid-19-measures-on-the-civil-justice-system/" TargetMode="External"/><Relationship Id="rId7" Type="http://schemas.openxmlformats.org/officeDocument/2006/relationships/hyperlink" Target="https://www.pewresearch.org/internet/2019/06/13/mobile-technology-and-home-broadband-2019/" TargetMode="External"/><Relationship Id="rId12" Type="http://schemas.openxmlformats.org/officeDocument/2006/relationships/hyperlink" Target="https://www.cpiworld.com/6-best-practices-virtual-meetings/" TargetMode="External"/><Relationship Id="rId17" Type="http://schemas.openxmlformats.org/officeDocument/2006/relationships/hyperlink" Target="https://www.judiciary.uk/announcements/rapid-consultation-the-impact-of-covid-19-measures-on-the-civil-justice-system/" TargetMode="External"/><Relationship Id="rId2" Type="http://schemas.openxmlformats.org/officeDocument/2006/relationships/hyperlink" Target="https://www.ncsc.org/" TargetMode="External"/><Relationship Id="rId16" Type="http://schemas.openxmlformats.org/officeDocument/2006/relationships/hyperlink" Target="https://www.ncsc.org/Topics/Media/Cameras-in-the-Court/Resource-Guide.aspx" TargetMode="External"/><Relationship Id="rId20" Type="http://schemas.openxmlformats.org/officeDocument/2006/relationships/hyperlink" Target="https://www.ncjfcj.org/wp-content/uploads/2020/04/COSA-NSCSC-and-NACM-JTC-Response-Bulletin-Strategic-Issues-to-Consider-When-Starting-Virtual-Hearings-.pdf" TargetMode="External"/><Relationship Id="rId1" Type="http://schemas.openxmlformats.org/officeDocument/2006/relationships/hyperlink" Target="https://www.ncsc.org/" TargetMode="External"/><Relationship Id="rId6" Type="http://schemas.openxmlformats.org/officeDocument/2006/relationships/hyperlink" Target="https://www.bjs.gov/content/pub/pdf/dccc.pdf" TargetMode="External"/><Relationship Id="rId11" Type="http://schemas.openxmlformats.org/officeDocument/2006/relationships/hyperlink" Target="https://www.pewresearch.org/internet/fact-sheet/internet-broadband/" TargetMode="External"/><Relationship Id="rId5" Type="http://schemas.openxmlformats.org/officeDocument/2006/relationships/hyperlink" Target="https://www.srln.org/node/548/srln-brief-how-many-srls-srln-2019" TargetMode="External"/><Relationship Id="rId15" Type="http://schemas.openxmlformats.org/officeDocument/2006/relationships/hyperlink" Target="https://www.txcourts.gov/media/1446335/zoomsrlbestpractices.pdf" TargetMode="External"/><Relationship Id="rId23" Type="http://schemas.openxmlformats.org/officeDocument/2006/relationships/hyperlink" Target="https://www.rand.org/pubs/research_reports/RR3222.html" TargetMode="External"/><Relationship Id="rId10" Type="http://schemas.openxmlformats.org/officeDocument/2006/relationships/hyperlink" Target="https://www.pewresearch.org/fact-tank/2018/09/10/about-a-quarter-of-rural-americans-say-access-to-high-speed-internet-is-a-major-problem/" TargetMode="External"/><Relationship Id="rId19" Type="http://schemas.openxmlformats.org/officeDocument/2006/relationships/hyperlink" Target="https://madison.com/wsj/news/local/crime-and-courts/task-force-to-look-at-safe-operations-in-state-courts-during-covid-19-pandemic/article_074c4636-537c-5e95-8252-aea7fabf6e61.html" TargetMode="External"/><Relationship Id="rId4" Type="http://schemas.openxmlformats.org/officeDocument/2006/relationships/hyperlink" Target="https://casetext.com/rule/alaska-court-rules/alaska-rules-of-civil-procedure/part-xiii-general-provisions/rule-99-telephonic-participation-in-civil-cases" TargetMode="External"/><Relationship Id="rId9" Type="http://schemas.openxmlformats.org/officeDocument/2006/relationships/hyperlink" Target="https://www.nielsen.com/us/en/insights/article/2010/whats-driving-the-growth-of-pre-paid-cell-phones/" TargetMode="External"/><Relationship Id="rId14" Type="http://schemas.openxmlformats.org/officeDocument/2006/relationships/hyperlink" Target="https://www.txcourts.gov/programs-services/electronic-hearings-with-zoom/" TargetMode="External"/><Relationship Id="rId22" Type="http://schemas.openxmlformats.org/officeDocument/2006/relationships/hyperlink" Target="http://chicagoappleseed.org/wp-content/uploads/2012/08/videoconfreport_080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D5F83FFA1104EA2CCB5EF5C0D1A61" ma:contentTypeVersion="15" ma:contentTypeDescription="Create a new document." ma:contentTypeScope="" ma:versionID="395116b6474bd56aa255151d8e7935a5">
  <xsd:schema xmlns:xsd="http://www.w3.org/2001/XMLSchema" xmlns:xs="http://www.w3.org/2001/XMLSchema" xmlns:p="http://schemas.microsoft.com/office/2006/metadata/properties" xmlns:ns1="http://schemas.microsoft.com/sharepoint/v3" xmlns:ns3="298a5264-8504-4c33-80c2-4d7c997273da" xmlns:ns4="9404c71e-28d4-47f5-a011-9244dd303038" targetNamespace="http://schemas.microsoft.com/office/2006/metadata/properties" ma:root="true" ma:fieldsID="d2d689dda270e8a59e9bb7b4dc033606" ns1:_="" ns3:_="" ns4:_="">
    <xsd:import namespace="http://schemas.microsoft.com/sharepoint/v3"/>
    <xsd:import namespace="298a5264-8504-4c33-80c2-4d7c997273da"/>
    <xsd:import namespace="9404c71e-28d4-47f5-a011-9244dd30303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a5264-8504-4c33-80c2-4d7c997273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4c71e-28d4-47f5-a011-9244dd30303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EB4F-976D-4BD2-A05B-802E4D8FF35D}">
  <ds:schemaRefs>
    <ds:schemaRef ds:uri="http://purl.org/dc/dcmitype/"/>
    <ds:schemaRef ds:uri="298a5264-8504-4c33-80c2-4d7c997273da"/>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9404c71e-28d4-47f5-a011-9244dd303038"/>
    <ds:schemaRef ds:uri="http://www.w3.org/XML/1998/namespace"/>
  </ds:schemaRefs>
</ds:datastoreItem>
</file>

<file path=customXml/itemProps2.xml><?xml version="1.0" encoding="utf-8"?>
<ds:datastoreItem xmlns:ds="http://schemas.openxmlformats.org/officeDocument/2006/customXml" ds:itemID="{5FFF7445-816C-4DBC-8885-AC7E7B12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8a5264-8504-4c33-80c2-4d7c997273da"/>
    <ds:schemaRef ds:uri="9404c71e-28d4-47f5-a011-9244dd30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2D4EC-08D0-4BF0-B232-401D740146F0}">
  <ds:schemaRefs>
    <ds:schemaRef ds:uri="http://schemas.microsoft.com/sharepoint/v3/contenttype/forms"/>
  </ds:schemaRefs>
</ds:datastoreItem>
</file>

<file path=customXml/itemProps4.xml><?xml version="1.0" encoding="utf-8"?>
<ds:datastoreItem xmlns:ds="http://schemas.openxmlformats.org/officeDocument/2006/customXml" ds:itemID="{D62D4587-6A35-49F1-8C4C-768697C4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AMERICAN BAR ASSOCIATION</vt:lpstr>
    </vt:vector>
  </TitlesOfParts>
  <Company>ABA</Company>
  <LinksUpToDate>false</LinksUpToDate>
  <CharactersWithSpaces>33111</CharactersWithSpaces>
  <SharedDoc>false</SharedDoc>
  <HLinks>
    <vt:vector size="24" baseType="variant">
      <vt:variant>
        <vt:i4>1900605</vt:i4>
      </vt:variant>
      <vt:variant>
        <vt:i4>6</vt:i4>
      </vt:variant>
      <vt:variant>
        <vt:i4>0</vt:i4>
      </vt:variant>
      <vt:variant>
        <vt:i4>5</vt:i4>
      </vt:variant>
      <vt:variant>
        <vt:lpwstr>mailto:yonahara@freelandlaw.com</vt:lpwstr>
      </vt:variant>
      <vt:variant>
        <vt:lpwstr/>
      </vt:variant>
      <vt:variant>
        <vt:i4>1245186</vt:i4>
      </vt:variant>
      <vt:variant>
        <vt:i4>3</vt:i4>
      </vt:variant>
      <vt:variant>
        <vt:i4>0</vt:i4>
      </vt:variant>
      <vt:variant>
        <vt:i4>5</vt:i4>
      </vt:variant>
      <vt:variant>
        <vt:lpwstr>mailto:Ashley_Baker@sulc.edu</vt:lpwstr>
      </vt:variant>
      <vt:variant>
        <vt:lpwstr/>
      </vt:variant>
      <vt:variant>
        <vt:i4>2556027</vt:i4>
      </vt:variant>
      <vt:variant>
        <vt:i4>0</vt:i4>
      </vt:variant>
      <vt:variant>
        <vt:i4>0</vt:i4>
      </vt:variant>
      <vt:variant>
        <vt:i4>5</vt:i4>
      </vt:variant>
      <vt:variant>
        <vt:lpwstr>https://www.theatlantic.com/politics/archive/2018/01/virginia-clemency-restoration-of-rights-campaigns/549830/</vt:lpwstr>
      </vt:variant>
      <vt:variant>
        <vt:lpwstr/>
      </vt:variant>
      <vt:variant>
        <vt:i4>3801210</vt:i4>
      </vt:variant>
      <vt:variant>
        <vt:i4>0</vt:i4>
      </vt:variant>
      <vt:variant>
        <vt:i4>0</vt:i4>
      </vt:variant>
      <vt:variant>
        <vt:i4>5</vt:i4>
      </vt:variant>
      <vt:variant>
        <vt:lpwstr>https://www.huffpost.com/entry/bernie-sanders-felon-voting-rights_n_5caa349ae4b0a00f6d414374?bu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BAR ASSOCIATION</dc:title>
  <dc:subject/>
  <dc:creator>Carri Kerber</dc:creator>
  <cp:keywords/>
  <dc:description/>
  <cp:lastModifiedBy>Katriina Adair</cp:lastModifiedBy>
  <cp:revision>2</cp:revision>
  <cp:lastPrinted>2011-10-20T17:17:00Z</cp:lastPrinted>
  <dcterms:created xsi:type="dcterms:W3CDTF">2020-05-15T15:39:00Z</dcterms:created>
  <dcterms:modified xsi:type="dcterms:W3CDTF">2020-05-15T15:39:00Z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0x0101001F4D5F83FFA1104EA2CCB5EF5C0D1A61</vt:lpwstr>
  </property>
</Properties>
</file>